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6D35C5">
        <w:rPr>
          <w:rFonts w:ascii="Verdana" w:hAnsi="Verdana"/>
          <w:color w:val="000000"/>
          <w:sz w:val="37"/>
          <w:szCs w:val="37"/>
        </w:rPr>
        <w:t>1</w:t>
      </w:r>
      <w:r w:rsidR="002645F1">
        <w:rPr>
          <w:rFonts w:ascii="Verdana" w:hAnsi="Verdana"/>
          <w:color w:val="000000"/>
          <w:sz w:val="37"/>
          <w:szCs w:val="37"/>
        </w:rPr>
        <w:t>1</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2645F1" w:rsidRDefault="002645F1" w:rsidP="002645F1">
      <w:pPr>
        <w:pStyle w:val="Heading3"/>
        <w:rPr>
          <w:rFonts w:ascii="Verdana" w:hAnsi="Verdana"/>
          <w:color w:val="000000"/>
          <w:sz w:val="26"/>
          <w:szCs w:val="26"/>
        </w:rPr>
      </w:pPr>
      <w:r>
        <w:rPr>
          <w:rFonts w:ascii="Verdana" w:hAnsi="Verdana"/>
          <w:color w:val="000000"/>
          <w:sz w:val="26"/>
          <w:szCs w:val="26"/>
        </w:rPr>
        <w:t>Measuring the reading difficulty of a text</w:t>
      </w:r>
    </w:p>
    <w:p w:rsidR="002645F1" w:rsidRDefault="002645F1" w:rsidP="002645F1">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How do you measure the reading level of a text? Some metrics use </w:t>
      </w:r>
      <w:proofErr w:type="gramStart"/>
      <w:r>
        <w:rPr>
          <w:rStyle w:val="Emphasis"/>
          <w:rFonts w:ascii="Verdana" w:hAnsi="Verdana"/>
          <w:color w:val="000000"/>
          <w:sz w:val="21"/>
          <w:szCs w:val="21"/>
        </w:rPr>
        <w:t>fairly superficial</w:t>
      </w:r>
      <w:proofErr w:type="gramEnd"/>
      <w:r>
        <w:rPr>
          <w:rStyle w:val="Emphasis"/>
          <w:rFonts w:ascii="Verdana" w:hAnsi="Verdana"/>
          <w:color w:val="000000"/>
          <w:sz w:val="21"/>
          <w:szCs w:val="21"/>
        </w:rPr>
        <w:t xml:space="preserve"> aspects of the linguistic code. </w:t>
      </w:r>
      <w:proofErr w:type="gramStart"/>
      <w:r>
        <w:rPr>
          <w:rStyle w:val="Emphasis"/>
          <w:rFonts w:ascii="Verdana" w:hAnsi="Verdana"/>
          <w:color w:val="000000"/>
          <w:sz w:val="21"/>
          <w:szCs w:val="21"/>
        </w:rPr>
        <w:t>But</w:t>
      </w:r>
      <w:proofErr w:type="gramEnd"/>
      <w:r>
        <w:rPr>
          <w:rStyle w:val="Emphasis"/>
          <w:rFonts w:ascii="Verdana" w:hAnsi="Verdana"/>
          <w:color w:val="000000"/>
          <w:sz w:val="21"/>
          <w:szCs w:val="21"/>
        </w:rPr>
        <w:t xml:space="preserve"> the researchers of the following paper argue for a more complete analysis that also takes into account discourse processing:</w:t>
      </w:r>
    </w:p>
    <w:p w:rsidR="002645F1" w:rsidRDefault="002645F1" w:rsidP="002645F1">
      <w:pPr>
        <w:pStyle w:val="NormalWeb"/>
        <w:rPr>
          <w:rFonts w:ascii="Verdana" w:hAnsi="Verdana"/>
          <w:color w:val="000000"/>
          <w:sz w:val="21"/>
          <w:szCs w:val="21"/>
        </w:rPr>
      </w:pPr>
      <w:proofErr w:type="spellStart"/>
      <w:r>
        <w:rPr>
          <w:rFonts w:ascii="Verdana" w:hAnsi="Verdana"/>
          <w:color w:val="000000"/>
          <w:sz w:val="21"/>
          <w:szCs w:val="21"/>
        </w:rPr>
        <w:t>Graesser</w:t>
      </w:r>
      <w:proofErr w:type="spellEnd"/>
      <w:r>
        <w:rPr>
          <w:rFonts w:ascii="Verdana" w:hAnsi="Verdana"/>
          <w:color w:val="000000"/>
          <w:sz w:val="21"/>
          <w:szCs w:val="21"/>
        </w:rPr>
        <w:t>, A. C., &amp; McNamara, D. S. (2011) Computational analyses of multilevel discourse comprehension. </w:t>
      </w:r>
      <w:r>
        <w:rPr>
          <w:rStyle w:val="Emphasis"/>
          <w:rFonts w:ascii="Verdana" w:hAnsi="Verdana"/>
          <w:color w:val="000000"/>
          <w:sz w:val="21"/>
          <w:szCs w:val="21"/>
        </w:rPr>
        <w:t xml:space="preserve">Topics </w:t>
      </w:r>
      <w:proofErr w:type="gramStart"/>
      <w:r>
        <w:rPr>
          <w:rStyle w:val="Emphasis"/>
          <w:rFonts w:ascii="Verdana" w:hAnsi="Verdana"/>
          <w:color w:val="000000"/>
          <w:sz w:val="21"/>
          <w:szCs w:val="21"/>
        </w:rPr>
        <w:t>In</w:t>
      </w:r>
      <w:proofErr w:type="gramEnd"/>
      <w:r>
        <w:rPr>
          <w:rStyle w:val="Emphasis"/>
          <w:rFonts w:ascii="Verdana" w:hAnsi="Verdana"/>
          <w:color w:val="000000"/>
          <w:sz w:val="21"/>
          <w:szCs w:val="21"/>
        </w:rPr>
        <w:t xml:space="preserve"> Cognitive Science, 3</w:t>
      </w:r>
      <w:r>
        <w:rPr>
          <w:rFonts w:ascii="Verdana" w:hAnsi="Verdana"/>
          <w:color w:val="000000"/>
          <w:sz w:val="21"/>
          <w:szCs w:val="21"/>
        </w:rPr>
        <w:t>, 371–398.</w:t>
      </w:r>
    </w:p>
    <w:p w:rsidR="002645F1" w:rsidRDefault="002645F1" w:rsidP="002645F1">
      <w:pPr>
        <w:pStyle w:val="Heading3"/>
        <w:rPr>
          <w:rFonts w:ascii="Verdana" w:hAnsi="Verdana"/>
          <w:color w:val="000000"/>
          <w:sz w:val="26"/>
          <w:szCs w:val="26"/>
        </w:rPr>
      </w:pPr>
      <w:r>
        <w:rPr>
          <w:rFonts w:ascii="Verdana" w:hAnsi="Verdana"/>
          <w:color w:val="000000"/>
          <w:sz w:val="26"/>
          <w:szCs w:val="26"/>
        </w:rPr>
        <w:t>Reverse cohesion effect</w:t>
      </w:r>
    </w:p>
    <w:p w:rsidR="002645F1" w:rsidRDefault="002645F1" w:rsidP="002645F1">
      <w:pPr>
        <w:pStyle w:val="NormalWeb"/>
        <w:spacing w:before="0" w:beforeAutospacing="0"/>
        <w:rPr>
          <w:rFonts w:ascii="Verdana" w:hAnsi="Verdana"/>
          <w:color w:val="000000"/>
          <w:sz w:val="21"/>
          <w:szCs w:val="21"/>
        </w:rPr>
      </w:pPr>
      <w:r>
        <w:rPr>
          <w:rStyle w:val="Emphasis"/>
          <w:rFonts w:ascii="Verdana" w:hAnsi="Verdana"/>
          <w:color w:val="000000"/>
          <w:sz w:val="21"/>
          <w:szCs w:val="21"/>
        </w:rPr>
        <w:t>The reverse cohesion effect suggests that readers who know a lot about a certain topic benefit from reading a text in which they have to infer many of the connections between sentences. The following papers look at other factors that play a role in determining the benefits of implicitness:</w:t>
      </w:r>
    </w:p>
    <w:p w:rsidR="002645F1" w:rsidRDefault="002645F1" w:rsidP="002645F1">
      <w:pPr>
        <w:pStyle w:val="NormalWeb"/>
        <w:rPr>
          <w:rFonts w:ascii="Verdana" w:hAnsi="Verdana"/>
          <w:color w:val="000000"/>
          <w:sz w:val="21"/>
          <w:szCs w:val="21"/>
        </w:rPr>
      </w:pPr>
      <w:proofErr w:type="spellStart"/>
      <w:r>
        <w:rPr>
          <w:rFonts w:ascii="Verdana" w:hAnsi="Verdana"/>
          <w:color w:val="000000"/>
          <w:sz w:val="21"/>
          <w:szCs w:val="21"/>
        </w:rPr>
        <w:t>Kamalski</w:t>
      </w:r>
      <w:proofErr w:type="spellEnd"/>
      <w:r>
        <w:rPr>
          <w:rFonts w:ascii="Verdana" w:hAnsi="Verdana"/>
          <w:color w:val="000000"/>
          <w:sz w:val="21"/>
          <w:szCs w:val="21"/>
        </w:rPr>
        <w:t>, J., Sanders, T., &amp; Lentz, L. (2008) Coherence, prior knowledge, and comprehension of informative and persuasive texts. </w:t>
      </w:r>
      <w:r>
        <w:rPr>
          <w:rStyle w:val="Emphasis"/>
          <w:rFonts w:ascii="Verdana" w:hAnsi="Verdana"/>
          <w:color w:val="000000"/>
          <w:sz w:val="21"/>
          <w:szCs w:val="21"/>
        </w:rPr>
        <w:t>Discourse Processes, 45,</w:t>
      </w:r>
      <w:r>
        <w:rPr>
          <w:rFonts w:ascii="Verdana" w:hAnsi="Verdana"/>
          <w:color w:val="000000"/>
          <w:sz w:val="21"/>
          <w:szCs w:val="21"/>
        </w:rPr>
        <w:t> 323–345.</w:t>
      </w:r>
    </w:p>
    <w:p w:rsidR="002645F1" w:rsidRDefault="002645F1" w:rsidP="002645F1">
      <w:pPr>
        <w:pStyle w:val="NormalWeb"/>
        <w:rPr>
          <w:rFonts w:ascii="Verdana" w:hAnsi="Verdana"/>
          <w:color w:val="000000"/>
          <w:sz w:val="21"/>
          <w:szCs w:val="21"/>
        </w:rPr>
      </w:pPr>
      <w:r>
        <w:rPr>
          <w:rFonts w:ascii="Verdana" w:hAnsi="Verdana"/>
          <w:color w:val="000000"/>
          <w:sz w:val="21"/>
          <w:szCs w:val="21"/>
        </w:rPr>
        <w:t>O’Reilly, T., &amp; McNamara, D. S. (2007) Reversing the reverse cohesion effect: Good texts can be better for strategic, high-knowledge readers. </w:t>
      </w:r>
      <w:r>
        <w:rPr>
          <w:rStyle w:val="Emphasis"/>
          <w:rFonts w:ascii="Verdana" w:hAnsi="Verdana"/>
          <w:color w:val="000000"/>
          <w:sz w:val="21"/>
          <w:szCs w:val="21"/>
        </w:rPr>
        <w:t>Discourse Processes</w:t>
      </w:r>
      <w:r>
        <w:rPr>
          <w:rFonts w:ascii="Verdana" w:hAnsi="Verdana"/>
          <w:color w:val="000000"/>
          <w:sz w:val="21"/>
          <w:szCs w:val="21"/>
        </w:rPr>
        <w:t>, 43, 121–152.</w:t>
      </w:r>
    </w:p>
    <w:p w:rsidR="002645F1" w:rsidRDefault="002645F1" w:rsidP="002645F1">
      <w:pPr>
        <w:pStyle w:val="Heading3"/>
        <w:rPr>
          <w:rFonts w:ascii="Verdana" w:hAnsi="Verdana"/>
          <w:color w:val="000000"/>
          <w:sz w:val="26"/>
          <w:szCs w:val="26"/>
        </w:rPr>
      </w:pPr>
      <w:r>
        <w:rPr>
          <w:rFonts w:ascii="Verdana" w:hAnsi="Verdana"/>
          <w:color w:val="000000"/>
          <w:sz w:val="26"/>
          <w:szCs w:val="26"/>
        </w:rPr>
        <w:t>Effects of prior knowledge</w:t>
      </w:r>
    </w:p>
    <w:p w:rsidR="002645F1" w:rsidRDefault="002645F1" w:rsidP="002645F1">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In this chapter, you learned how prior background knowledge </w:t>
      </w:r>
      <w:proofErr w:type="gramStart"/>
      <w:r>
        <w:rPr>
          <w:rStyle w:val="Emphasis"/>
          <w:rFonts w:ascii="Verdana" w:hAnsi="Verdana"/>
          <w:color w:val="000000"/>
          <w:sz w:val="21"/>
          <w:szCs w:val="21"/>
        </w:rPr>
        <w:t>can</w:t>
      </w:r>
      <w:proofErr w:type="gramEnd"/>
      <w:r>
        <w:rPr>
          <w:rStyle w:val="Emphasis"/>
          <w:rFonts w:ascii="Verdana" w:hAnsi="Verdana"/>
          <w:color w:val="000000"/>
          <w:sz w:val="21"/>
          <w:szCs w:val="21"/>
        </w:rPr>
        <w:t xml:space="preserve"> have a dramatic effect in text comprehension. This paper suggests that prior knowledge can also affect the depth of people’s engagement with stories and the degree to which they internalize beliefs that are consistent with the story:</w:t>
      </w:r>
    </w:p>
    <w:p w:rsidR="002645F1" w:rsidRDefault="002645F1" w:rsidP="002645F1">
      <w:pPr>
        <w:pStyle w:val="NormalWeb"/>
        <w:rPr>
          <w:rFonts w:ascii="Verdana" w:hAnsi="Verdana"/>
          <w:color w:val="000000"/>
          <w:sz w:val="21"/>
          <w:szCs w:val="21"/>
        </w:rPr>
      </w:pPr>
      <w:r>
        <w:rPr>
          <w:rFonts w:ascii="Verdana" w:hAnsi="Verdana"/>
          <w:color w:val="000000"/>
          <w:sz w:val="21"/>
          <w:szCs w:val="21"/>
        </w:rPr>
        <w:t>Green, M. C. (2004) Transportation into narrative worlds: The role of prior knowledge and perceived realism. </w:t>
      </w:r>
      <w:r>
        <w:rPr>
          <w:rStyle w:val="Emphasis"/>
          <w:rFonts w:ascii="Verdana" w:hAnsi="Verdana"/>
          <w:color w:val="000000"/>
          <w:sz w:val="21"/>
          <w:szCs w:val="21"/>
        </w:rPr>
        <w:t>Discourse Processes, 38,</w:t>
      </w:r>
      <w:r>
        <w:rPr>
          <w:rFonts w:ascii="Verdana" w:hAnsi="Verdana"/>
          <w:color w:val="000000"/>
          <w:sz w:val="21"/>
          <w:szCs w:val="21"/>
        </w:rPr>
        <w:t> 247–266.</w:t>
      </w:r>
    </w:p>
    <w:p w:rsidR="002645F1" w:rsidRDefault="002645F1" w:rsidP="002645F1">
      <w:pPr>
        <w:pStyle w:val="Heading3"/>
        <w:rPr>
          <w:rFonts w:ascii="Verdana" w:hAnsi="Verdana"/>
          <w:color w:val="000000"/>
          <w:sz w:val="26"/>
          <w:szCs w:val="26"/>
        </w:rPr>
      </w:pPr>
      <w:r>
        <w:rPr>
          <w:rFonts w:ascii="Verdana" w:hAnsi="Verdana"/>
          <w:color w:val="000000"/>
          <w:sz w:val="26"/>
          <w:szCs w:val="26"/>
        </w:rPr>
        <w:t>Shallow processing and anaphora</w:t>
      </w:r>
    </w:p>
    <w:p w:rsidR="002645F1" w:rsidRDefault="002645F1" w:rsidP="002645F1">
      <w:pPr>
        <w:pStyle w:val="NormalWeb"/>
        <w:spacing w:before="0" w:beforeAutospacing="0"/>
        <w:rPr>
          <w:rFonts w:ascii="Verdana" w:hAnsi="Verdana"/>
          <w:color w:val="000000"/>
          <w:sz w:val="21"/>
          <w:szCs w:val="21"/>
        </w:rPr>
      </w:pPr>
      <w:r>
        <w:rPr>
          <w:rStyle w:val="Emphasis"/>
          <w:rFonts w:ascii="Verdana" w:hAnsi="Verdana"/>
          <w:color w:val="000000"/>
          <w:sz w:val="21"/>
          <w:szCs w:val="21"/>
        </w:rPr>
        <w:t>Are pronouns always fully and automatically resolved? Two papers using different methods to investigate pronoun resolution and depth of processing:</w:t>
      </w:r>
    </w:p>
    <w:p w:rsidR="002645F1" w:rsidRDefault="002645F1" w:rsidP="002645F1">
      <w:pPr>
        <w:pStyle w:val="NormalWeb"/>
        <w:rPr>
          <w:rFonts w:ascii="Verdana" w:hAnsi="Verdana"/>
          <w:color w:val="000000"/>
          <w:sz w:val="21"/>
          <w:szCs w:val="21"/>
        </w:rPr>
      </w:pPr>
      <w:proofErr w:type="spellStart"/>
      <w:r>
        <w:rPr>
          <w:rFonts w:ascii="Verdana" w:hAnsi="Verdana"/>
          <w:color w:val="000000"/>
          <w:sz w:val="21"/>
          <w:szCs w:val="21"/>
        </w:rPr>
        <w:t>Klin</w:t>
      </w:r>
      <w:proofErr w:type="spellEnd"/>
      <w:r>
        <w:rPr>
          <w:rFonts w:ascii="Verdana" w:hAnsi="Verdana"/>
          <w:color w:val="000000"/>
          <w:sz w:val="21"/>
          <w:szCs w:val="21"/>
        </w:rPr>
        <w:t xml:space="preserve">, C., Guzman, A. E., </w:t>
      </w:r>
      <w:proofErr w:type="spellStart"/>
      <w:r>
        <w:rPr>
          <w:rFonts w:ascii="Verdana" w:hAnsi="Verdana"/>
          <w:color w:val="000000"/>
          <w:sz w:val="21"/>
          <w:szCs w:val="21"/>
        </w:rPr>
        <w:t>Wingartner</w:t>
      </w:r>
      <w:proofErr w:type="spellEnd"/>
      <w:r>
        <w:rPr>
          <w:rFonts w:ascii="Verdana" w:hAnsi="Verdana"/>
          <w:color w:val="000000"/>
          <w:sz w:val="21"/>
          <w:szCs w:val="21"/>
        </w:rPr>
        <w:t xml:space="preserve">, A. M., &amp; </w:t>
      </w:r>
      <w:proofErr w:type="spellStart"/>
      <w:r>
        <w:rPr>
          <w:rFonts w:ascii="Verdana" w:hAnsi="Verdana"/>
          <w:color w:val="000000"/>
          <w:sz w:val="21"/>
          <w:szCs w:val="21"/>
        </w:rPr>
        <w:t>Ralano</w:t>
      </w:r>
      <w:proofErr w:type="spellEnd"/>
      <w:r>
        <w:rPr>
          <w:rFonts w:ascii="Verdana" w:hAnsi="Verdana"/>
          <w:color w:val="000000"/>
          <w:sz w:val="21"/>
          <w:szCs w:val="21"/>
        </w:rPr>
        <w:t xml:space="preserve">, A. S. (2006). When anaphor resolution </w:t>
      </w:r>
      <w:proofErr w:type="gramStart"/>
      <w:r>
        <w:rPr>
          <w:rFonts w:ascii="Verdana" w:hAnsi="Verdana"/>
          <w:color w:val="000000"/>
          <w:sz w:val="21"/>
          <w:szCs w:val="21"/>
        </w:rPr>
        <w:t>fails: Partial</w:t>
      </w:r>
      <w:proofErr w:type="gramEnd"/>
      <w:r>
        <w:rPr>
          <w:rFonts w:ascii="Verdana" w:hAnsi="Verdana"/>
          <w:color w:val="000000"/>
          <w:sz w:val="21"/>
          <w:szCs w:val="21"/>
        </w:rPr>
        <w:t xml:space="preserve"> encoding of anaphoric inferences. </w:t>
      </w:r>
      <w:r>
        <w:rPr>
          <w:rStyle w:val="Emphasis"/>
          <w:rFonts w:ascii="Verdana" w:hAnsi="Verdana"/>
          <w:color w:val="000000"/>
          <w:sz w:val="21"/>
          <w:szCs w:val="21"/>
        </w:rPr>
        <w:t>Journal of Memory and Language, 54</w:t>
      </w:r>
      <w:r>
        <w:rPr>
          <w:rFonts w:ascii="Verdana" w:hAnsi="Verdana"/>
          <w:color w:val="000000"/>
          <w:sz w:val="21"/>
          <w:szCs w:val="21"/>
        </w:rPr>
        <w:t>, 131–143.</w:t>
      </w:r>
    </w:p>
    <w:p w:rsidR="002645F1" w:rsidRDefault="002645F1" w:rsidP="002645F1">
      <w:pPr>
        <w:pStyle w:val="NormalWeb"/>
        <w:rPr>
          <w:rFonts w:ascii="Verdana" w:hAnsi="Verdana"/>
          <w:color w:val="000000"/>
          <w:sz w:val="21"/>
          <w:szCs w:val="21"/>
        </w:rPr>
      </w:pPr>
      <w:r>
        <w:rPr>
          <w:rFonts w:ascii="Verdana" w:hAnsi="Verdana"/>
          <w:color w:val="000000"/>
          <w:sz w:val="21"/>
          <w:szCs w:val="21"/>
        </w:rPr>
        <w:lastRenderedPageBreak/>
        <w:t>Stewart, A. J., Holler, J., &amp; Kidd, E. (2007). Shallow processing of ambiguous pronouns: Evidence for delay. </w:t>
      </w:r>
      <w:r>
        <w:rPr>
          <w:rStyle w:val="Emphasis"/>
          <w:rFonts w:ascii="Verdana" w:hAnsi="Verdana"/>
          <w:color w:val="000000"/>
          <w:sz w:val="21"/>
          <w:szCs w:val="21"/>
        </w:rPr>
        <w:t>The Quarterly Journal of Experimental Psychology, 60</w:t>
      </w:r>
      <w:r>
        <w:rPr>
          <w:rFonts w:ascii="Verdana" w:hAnsi="Verdana"/>
          <w:color w:val="000000"/>
          <w:sz w:val="21"/>
          <w:szCs w:val="21"/>
        </w:rPr>
        <w:t>, 1680–1696.</w:t>
      </w:r>
    </w:p>
    <w:p w:rsidR="002645F1" w:rsidRDefault="002645F1" w:rsidP="002645F1">
      <w:pPr>
        <w:pStyle w:val="Heading3"/>
        <w:rPr>
          <w:rFonts w:ascii="Verdana" w:hAnsi="Verdana"/>
          <w:color w:val="000000"/>
          <w:sz w:val="26"/>
          <w:szCs w:val="26"/>
        </w:rPr>
      </w:pPr>
      <w:r>
        <w:rPr>
          <w:rFonts w:ascii="Verdana" w:hAnsi="Verdana"/>
          <w:color w:val="000000"/>
          <w:sz w:val="26"/>
          <w:szCs w:val="26"/>
        </w:rPr>
        <w:t>Models of discourse processing</w:t>
      </w:r>
    </w:p>
    <w:p w:rsidR="002645F1" w:rsidRDefault="002645F1" w:rsidP="002645F1">
      <w:pPr>
        <w:pStyle w:val="NormalWeb"/>
        <w:spacing w:before="0" w:beforeAutospacing="0"/>
        <w:rPr>
          <w:rFonts w:ascii="Verdana" w:hAnsi="Verdana"/>
          <w:color w:val="000000"/>
          <w:sz w:val="21"/>
          <w:szCs w:val="21"/>
        </w:rPr>
      </w:pPr>
      <w:r>
        <w:rPr>
          <w:rStyle w:val="Emphasis"/>
          <w:rFonts w:ascii="Verdana" w:hAnsi="Verdana"/>
          <w:color w:val="000000"/>
          <w:sz w:val="21"/>
          <w:szCs w:val="21"/>
        </w:rPr>
        <w:t>This paper is a readable survey and presentation of ideas arguing for the important role of memory-based processing:</w:t>
      </w:r>
    </w:p>
    <w:p w:rsidR="002645F1" w:rsidRDefault="002645F1" w:rsidP="002645F1">
      <w:pPr>
        <w:pStyle w:val="NormalWeb"/>
        <w:rPr>
          <w:rFonts w:ascii="Verdana" w:hAnsi="Verdana"/>
          <w:color w:val="000000"/>
          <w:sz w:val="21"/>
          <w:szCs w:val="21"/>
        </w:rPr>
      </w:pPr>
      <w:proofErr w:type="spellStart"/>
      <w:r>
        <w:rPr>
          <w:rFonts w:ascii="Verdana" w:hAnsi="Verdana"/>
          <w:color w:val="000000"/>
          <w:sz w:val="21"/>
          <w:szCs w:val="21"/>
        </w:rPr>
        <w:t>Gerrig</w:t>
      </w:r>
      <w:proofErr w:type="spellEnd"/>
      <w:r>
        <w:rPr>
          <w:rFonts w:ascii="Verdana" w:hAnsi="Verdana"/>
          <w:color w:val="000000"/>
          <w:sz w:val="21"/>
          <w:szCs w:val="21"/>
        </w:rPr>
        <w:t>, R. J., &amp; O’Brien, E. J. (2005). The scope of memory-based processing. </w:t>
      </w:r>
      <w:r>
        <w:rPr>
          <w:rStyle w:val="Emphasis"/>
          <w:rFonts w:ascii="Verdana" w:hAnsi="Verdana"/>
          <w:color w:val="000000"/>
          <w:sz w:val="21"/>
          <w:szCs w:val="21"/>
        </w:rPr>
        <w:t>Discourse Processes, 39</w:t>
      </w:r>
      <w:r>
        <w:rPr>
          <w:rFonts w:ascii="Verdana" w:hAnsi="Verdana"/>
          <w:color w:val="000000"/>
          <w:sz w:val="21"/>
          <w:szCs w:val="21"/>
        </w:rPr>
        <w:t>, 225–242.</w:t>
      </w:r>
    </w:p>
    <w:p w:rsidR="002645F1" w:rsidRDefault="002645F1" w:rsidP="002645F1">
      <w:pPr>
        <w:pStyle w:val="NormalWeb"/>
        <w:rPr>
          <w:rFonts w:ascii="Verdana" w:hAnsi="Verdana"/>
          <w:color w:val="000000"/>
          <w:sz w:val="21"/>
          <w:szCs w:val="21"/>
        </w:rPr>
      </w:pPr>
      <w:r>
        <w:rPr>
          <w:rStyle w:val="Emphasis"/>
          <w:rFonts w:ascii="Verdana" w:hAnsi="Verdana"/>
          <w:color w:val="000000"/>
          <w:sz w:val="21"/>
          <w:szCs w:val="21"/>
        </w:rPr>
        <w:t>An important paper articulating the constructionist approach:</w:t>
      </w:r>
    </w:p>
    <w:p w:rsidR="002645F1" w:rsidRDefault="002645F1" w:rsidP="002645F1">
      <w:pPr>
        <w:pStyle w:val="NormalWeb"/>
        <w:rPr>
          <w:rFonts w:ascii="Verdana" w:hAnsi="Verdana"/>
          <w:color w:val="000000"/>
          <w:sz w:val="21"/>
          <w:szCs w:val="21"/>
        </w:rPr>
      </w:pPr>
      <w:proofErr w:type="spellStart"/>
      <w:r>
        <w:rPr>
          <w:rFonts w:ascii="Verdana" w:hAnsi="Verdana"/>
          <w:color w:val="000000"/>
          <w:sz w:val="21"/>
          <w:szCs w:val="21"/>
        </w:rPr>
        <w:t>Graesser</w:t>
      </w:r>
      <w:proofErr w:type="spellEnd"/>
      <w:r>
        <w:rPr>
          <w:rFonts w:ascii="Verdana" w:hAnsi="Verdana"/>
          <w:color w:val="000000"/>
          <w:sz w:val="21"/>
          <w:szCs w:val="21"/>
        </w:rPr>
        <w:t xml:space="preserve">, A.C., Singer, M., </w:t>
      </w:r>
      <w:proofErr w:type="spellStart"/>
      <w:r>
        <w:rPr>
          <w:rFonts w:ascii="Verdana" w:hAnsi="Verdana"/>
          <w:color w:val="000000"/>
          <w:sz w:val="21"/>
          <w:szCs w:val="21"/>
        </w:rPr>
        <w:t>Trabasso</w:t>
      </w:r>
      <w:proofErr w:type="spellEnd"/>
      <w:r>
        <w:rPr>
          <w:rFonts w:ascii="Verdana" w:hAnsi="Verdana"/>
          <w:color w:val="000000"/>
          <w:sz w:val="21"/>
          <w:szCs w:val="21"/>
        </w:rPr>
        <w:t>, T. (1994). Constructing inferences during narrative text comprehension. </w:t>
      </w:r>
      <w:r>
        <w:rPr>
          <w:rStyle w:val="Emphasis"/>
          <w:rFonts w:ascii="Verdana" w:hAnsi="Verdana"/>
          <w:color w:val="000000"/>
          <w:sz w:val="21"/>
          <w:szCs w:val="21"/>
        </w:rPr>
        <w:t>Psychological Review, 101</w:t>
      </w:r>
      <w:r>
        <w:rPr>
          <w:rFonts w:ascii="Verdana" w:hAnsi="Verdana"/>
          <w:color w:val="000000"/>
          <w:sz w:val="21"/>
          <w:szCs w:val="21"/>
        </w:rPr>
        <w:t>, 371–395.</w:t>
      </w:r>
    </w:p>
    <w:p w:rsidR="002645F1" w:rsidRDefault="002645F1" w:rsidP="002645F1">
      <w:pPr>
        <w:pStyle w:val="NormalWeb"/>
        <w:rPr>
          <w:rFonts w:ascii="Verdana" w:hAnsi="Verdana"/>
          <w:color w:val="000000"/>
          <w:sz w:val="21"/>
          <w:szCs w:val="21"/>
        </w:rPr>
      </w:pPr>
      <w:r>
        <w:rPr>
          <w:rStyle w:val="Emphasis"/>
          <w:rFonts w:ascii="Verdana" w:hAnsi="Verdana"/>
          <w:color w:val="000000"/>
          <w:sz w:val="21"/>
          <w:szCs w:val="21"/>
        </w:rPr>
        <w:t xml:space="preserve">This paper </w:t>
      </w:r>
      <w:proofErr w:type="gramStart"/>
      <w:r>
        <w:rPr>
          <w:rStyle w:val="Emphasis"/>
          <w:rFonts w:ascii="Verdana" w:hAnsi="Verdana"/>
          <w:color w:val="000000"/>
          <w:sz w:val="21"/>
          <w:szCs w:val="21"/>
        </w:rPr>
        <w:t>argues for a model that combines ideas from both memory-based and constructionist theories</w:t>
      </w:r>
      <w:proofErr w:type="gramEnd"/>
      <w:r>
        <w:rPr>
          <w:rStyle w:val="Emphasis"/>
          <w:rFonts w:ascii="Verdana" w:hAnsi="Verdana"/>
          <w:color w:val="000000"/>
          <w:sz w:val="21"/>
          <w:szCs w:val="21"/>
        </w:rPr>
        <w:t>:</w:t>
      </w:r>
    </w:p>
    <w:p w:rsidR="002645F1" w:rsidRDefault="002645F1" w:rsidP="002645F1">
      <w:pPr>
        <w:pStyle w:val="NormalWeb"/>
        <w:rPr>
          <w:rFonts w:ascii="Verdana" w:hAnsi="Verdana"/>
          <w:color w:val="000000"/>
          <w:sz w:val="21"/>
          <w:szCs w:val="21"/>
        </w:rPr>
      </w:pPr>
      <w:r>
        <w:rPr>
          <w:rFonts w:ascii="Verdana" w:hAnsi="Verdana"/>
          <w:color w:val="000000"/>
          <w:sz w:val="21"/>
          <w:szCs w:val="21"/>
        </w:rPr>
        <w:t xml:space="preserve">Van den </w:t>
      </w:r>
      <w:proofErr w:type="spellStart"/>
      <w:r>
        <w:rPr>
          <w:rFonts w:ascii="Verdana" w:hAnsi="Verdana"/>
          <w:color w:val="000000"/>
          <w:sz w:val="21"/>
          <w:szCs w:val="21"/>
        </w:rPr>
        <w:t>Broek</w:t>
      </w:r>
      <w:proofErr w:type="spellEnd"/>
      <w:r>
        <w:rPr>
          <w:rFonts w:ascii="Verdana" w:hAnsi="Verdana"/>
          <w:color w:val="000000"/>
          <w:sz w:val="21"/>
          <w:szCs w:val="21"/>
        </w:rPr>
        <w:t>, P. (2005). Integrating memory-based and constructionist approaches in accounts of reading comprehension. </w:t>
      </w:r>
      <w:r>
        <w:rPr>
          <w:rStyle w:val="Emphasis"/>
          <w:rFonts w:ascii="Verdana" w:hAnsi="Verdana"/>
          <w:color w:val="000000"/>
          <w:sz w:val="21"/>
          <w:szCs w:val="21"/>
        </w:rPr>
        <w:t>Discourse Process, 39,</w:t>
      </w:r>
      <w:r>
        <w:rPr>
          <w:rFonts w:ascii="Verdana" w:hAnsi="Verdana"/>
          <w:color w:val="000000"/>
          <w:sz w:val="21"/>
          <w:szCs w:val="21"/>
        </w:rPr>
        <w:t> 299–316.</w:t>
      </w:r>
    </w:p>
    <w:p w:rsidR="002645F1" w:rsidRDefault="002645F1" w:rsidP="002645F1">
      <w:pPr>
        <w:pStyle w:val="NormalWeb"/>
        <w:rPr>
          <w:rFonts w:ascii="Verdana" w:hAnsi="Verdana"/>
          <w:color w:val="000000"/>
          <w:sz w:val="21"/>
          <w:szCs w:val="21"/>
        </w:rPr>
      </w:pPr>
      <w:r>
        <w:rPr>
          <w:rStyle w:val="Emphasis"/>
          <w:rFonts w:ascii="Verdana" w:hAnsi="Verdana"/>
          <w:color w:val="000000"/>
          <w:sz w:val="21"/>
          <w:szCs w:val="21"/>
        </w:rPr>
        <w:t xml:space="preserve">Some researchers disagree with the interpretation of the results of O’Brien and colleagues (2004), who argue that irrelevant information </w:t>
      </w:r>
      <w:proofErr w:type="gramStart"/>
      <w:r>
        <w:rPr>
          <w:rStyle w:val="Emphasis"/>
          <w:rFonts w:ascii="Verdana" w:hAnsi="Verdana"/>
          <w:color w:val="000000"/>
          <w:sz w:val="21"/>
          <w:szCs w:val="21"/>
        </w:rPr>
        <w:t>is automatically activated</w:t>
      </w:r>
      <w:proofErr w:type="gramEnd"/>
      <w:r>
        <w:rPr>
          <w:rStyle w:val="Emphasis"/>
          <w:rFonts w:ascii="Verdana" w:hAnsi="Verdana"/>
          <w:color w:val="000000"/>
          <w:sz w:val="21"/>
          <w:szCs w:val="21"/>
        </w:rPr>
        <w:t xml:space="preserve"> through resonance in memory. The following two articles show an exchange of opinions about exactly what that study reveals:</w:t>
      </w:r>
    </w:p>
    <w:p w:rsidR="002645F1" w:rsidRDefault="002645F1" w:rsidP="002645F1">
      <w:pPr>
        <w:pStyle w:val="NormalWeb"/>
        <w:rPr>
          <w:rFonts w:ascii="Verdana" w:hAnsi="Verdana"/>
          <w:color w:val="000000"/>
          <w:sz w:val="21"/>
          <w:szCs w:val="21"/>
        </w:rPr>
      </w:pPr>
      <w:proofErr w:type="spellStart"/>
      <w:r>
        <w:rPr>
          <w:rFonts w:ascii="Verdana" w:hAnsi="Verdana"/>
          <w:color w:val="000000"/>
          <w:sz w:val="21"/>
          <w:szCs w:val="21"/>
        </w:rPr>
        <w:t>Zwaan</w:t>
      </w:r>
      <w:proofErr w:type="spellEnd"/>
      <w:r>
        <w:rPr>
          <w:rFonts w:ascii="Verdana" w:hAnsi="Verdana"/>
          <w:color w:val="000000"/>
          <w:sz w:val="21"/>
          <w:szCs w:val="21"/>
        </w:rPr>
        <w:t>, R.A., &amp; Madden, C. J. (2004). Updating situation models. </w:t>
      </w:r>
      <w:r>
        <w:rPr>
          <w:rStyle w:val="Emphasis"/>
          <w:rFonts w:ascii="Verdana" w:hAnsi="Verdana"/>
          <w:color w:val="000000"/>
          <w:sz w:val="21"/>
          <w:szCs w:val="21"/>
        </w:rPr>
        <w:t>Journal of Experimental Psychology: Learning, Memory and Cognition, 30, </w:t>
      </w:r>
      <w:r>
        <w:rPr>
          <w:rFonts w:ascii="Verdana" w:hAnsi="Verdana"/>
          <w:color w:val="000000"/>
          <w:sz w:val="21"/>
          <w:szCs w:val="21"/>
        </w:rPr>
        <w:t>283–288.</w:t>
      </w:r>
    </w:p>
    <w:p w:rsidR="002645F1" w:rsidRDefault="002645F1" w:rsidP="002645F1">
      <w:pPr>
        <w:pStyle w:val="NormalWeb"/>
        <w:rPr>
          <w:rFonts w:ascii="Verdana" w:hAnsi="Verdana"/>
          <w:color w:val="000000"/>
          <w:sz w:val="21"/>
          <w:szCs w:val="21"/>
        </w:rPr>
      </w:pPr>
      <w:r>
        <w:rPr>
          <w:rFonts w:ascii="Verdana" w:hAnsi="Verdana"/>
          <w:color w:val="000000"/>
          <w:sz w:val="21"/>
          <w:szCs w:val="21"/>
        </w:rPr>
        <w:t xml:space="preserve">O’Brien, E.J., Cook, A.E., &amp; </w:t>
      </w:r>
      <w:proofErr w:type="spellStart"/>
      <w:r>
        <w:rPr>
          <w:rFonts w:ascii="Verdana" w:hAnsi="Verdana"/>
          <w:color w:val="000000"/>
          <w:sz w:val="21"/>
          <w:szCs w:val="21"/>
        </w:rPr>
        <w:t>Peracchi</w:t>
      </w:r>
      <w:proofErr w:type="spellEnd"/>
      <w:r>
        <w:rPr>
          <w:rFonts w:ascii="Verdana" w:hAnsi="Verdana"/>
          <w:color w:val="000000"/>
          <w:sz w:val="21"/>
          <w:szCs w:val="21"/>
        </w:rPr>
        <w:t xml:space="preserve">, K.A. (2004). Updating situation models: Reply to </w:t>
      </w:r>
      <w:proofErr w:type="spellStart"/>
      <w:r>
        <w:rPr>
          <w:rFonts w:ascii="Verdana" w:hAnsi="Verdana"/>
          <w:color w:val="000000"/>
          <w:sz w:val="21"/>
          <w:szCs w:val="21"/>
        </w:rPr>
        <w:t>Zwaan</w:t>
      </w:r>
      <w:proofErr w:type="spellEnd"/>
      <w:r>
        <w:rPr>
          <w:rFonts w:ascii="Verdana" w:hAnsi="Verdana"/>
          <w:color w:val="000000"/>
          <w:sz w:val="21"/>
          <w:szCs w:val="21"/>
        </w:rPr>
        <w:t xml:space="preserve"> &amp; Madden (2004). </w:t>
      </w:r>
      <w:r>
        <w:rPr>
          <w:rStyle w:val="Emphasis"/>
          <w:rFonts w:ascii="Verdana" w:hAnsi="Verdana"/>
          <w:color w:val="000000"/>
          <w:sz w:val="21"/>
          <w:szCs w:val="21"/>
        </w:rPr>
        <w:t>Experimental Psychology: Learning, Memory and Cognition, 30, </w:t>
      </w:r>
      <w:r>
        <w:rPr>
          <w:rFonts w:ascii="Verdana" w:hAnsi="Verdana"/>
          <w:color w:val="000000"/>
          <w:sz w:val="21"/>
          <w:szCs w:val="21"/>
        </w:rPr>
        <w:t>289–291.</w:t>
      </w:r>
    </w:p>
    <w:p w:rsidR="00762A28" w:rsidRDefault="00762A28" w:rsidP="00762A28">
      <w:pPr>
        <w:pStyle w:val="NormalWeb"/>
        <w:rPr>
          <w:rFonts w:ascii="Verdana" w:hAnsi="Verdana"/>
          <w:color w:val="000000"/>
          <w:sz w:val="21"/>
          <w:szCs w:val="21"/>
        </w:rPr>
      </w:pPr>
    </w:p>
    <w:p w:rsidR="00F04E28" w:rsidRDefault="00BC4CB2">
      <w:r>
        <w:rPr>
          <w:rFonts w:cstheme="minorHAnsi"/>
        </w:rPr>
        <w:t xml:space="preserve">© 2019 </w:t>
      </w:r>
      <w:r>
        <w:t xml:space="preserve">Oxford University Press </w:t>
      </w:r>
      <w:bookmarkStart w:id="0" w:name="_GoBack"/>
      <w:bookmarkEnd w:id="0"/>
    </w:p>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243D79"/>
    <w:rsid w:val="002645F1"/>
    <w:rsid w:val="00294AB8"/>
    <w:rsid w:val="004717CD"/>
    <w:rsid w:val="0059236E"/>
    <w:rsid w:val="00611621"/>
    <w:rsid w:val="006467EA"/>
    <w:rsid w:val="006B7046"/>
    <w:rsid w:val="006D35C5"/>
    <w:rsid w:val="00762A28"/>
    <w:rsid w:val="00833027"/>
    <w:rsid w:val="00A00464"/>
    <w:rsid w:val="00A44ECF"/>
    <w:rsid w:val="00BB1BB1"/>
    <w:rsid w:val="00BC4CB2"/>
    <w:rsid w:val="00BE7529"/>
    <w:rsid w:val="00BF1EFD"/>
    <w:rsid w:val="00D7215D"/>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3C0D"/>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382369429">
      <w:bodyDiv w:val="1"/>
      <w:marLeft w:val="0"/>
      <w:marRight w:val="0"/>
      <w:marTop w:val="0"/>
      <w:marBottom w:val="0"/>
      <w:divBdr>
        <w:top w:val="none" w:sz="0" w:space="0" w:color="auto"/>
        <w:left w:val="none" w:sz="0" w:space="0" w:color="auto"/>
        <w:bottom w:val="none" w:sz="0" w:space="0" w:color="auto"/>
        <w:right w:val="none" w:sz="0" w:space="0" w:color="auto"/>
      </w:divBdr>
    </w:div>
    <w:div w:id="668873117">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870412310">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291210133">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28</cp:revision>
  <dcterms:created xsi:type="dcterms:W3CDTF">2018-11-27T20:01:00Z</dcterms:created>
  <dcterms:modified xsi:type="dcterms:W3CDTF">2019-04-09T15:21:00Z</dcterms:modified>
</cp:coreProperties>
</file>