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621" w:rsidRDefault="00611621" w:rsidP="00611621">
      <w:pPr>
        <w:pStyle w:val="Heading1"/>
        <w:pBdr>
          <w:bottom w:val="single" w:sz="6" w:space="2" w:color="DFE6EB"/>
        </w:pBdr>
        <w:spacing w:before="0" w:beforeAutospacing="0" w:after="0" w:afterAutospacing="0"/>
        <w:rPr>
          <w:rFonts w:ascii="Verdana" w:hAnsi="Verdana"/>
          <w:color w:val="000000"/>
          <w:sz w:val="37"/>
          <w:szCs w:val="37"/>
        </w:rPr>
      </w:pPr>
      <w:r>
        <w:rPr>
          <w:rFonts w:ascii="Verdana" w:hAnsi="Verdana"/>
          <w:color w:val="000000"/>
          <w:sz w:val="37"/>
          <w:szCs w:val="37"/>
        </w:rPr>
        <w:t xml:space="preserve">Chapter </w:t>
      </w:r>
      <w:r w:rsidR="006D35C5">
        <w:rPr>
          <w:rFonts w:ascii="Verdana" w:hAnsi="Verdana"/>
          <w:color w:val="000000"/>
          <w:sz w:val="37"/>
          <w:szCs w:val="37"/>
        </w:rPr>
        <w:t>1</w:t>
      </w:r>
      <w:r w:rsidR="009326BE">
        <w:rPr>
          <w:rFonts w:ascii="Verdana" w:hAnsi="Verdana"/>
          <w:color w:val="000000"/>
          <w:sz w:val="37"/>
          <w:szCs w:val="37"/>
        </w:rPr>
        <w:t>3</w:t>
      </w:r>
      <w:r>
        <w:rPr>
          <w:rFonts w:ascii="Verdana" w:hAnsi="Verdana"/>
          <w:color w:val="000000"/>
          <w:sz w:val="37"/>
          <w:szCs w:val="37"/>
        </w:rPr>
        <w:t xml:space="preserve"> </w:t>
      </w:r>
      <w:r w:rsidR="006467EA">
        <w:rPr>
          <w:rFonts w:ascii="Verdana" w:hAnsi="Verdana"/>
          <w:color w:val="000000"/>
          <w:sz w:val="37"/>
          <w:szCs w:val="37"/>
        </w:rPr>
        <w:t>Further Readings</w:t>
      </w:r>
    </w:p>
    <w:p w:rsidR="006467EA" w:rsidRDefault="006467EA" w:rsidP="006467EA">
      <w:pPr>
        <w:pStyle w:val="NormalWeb"/>
        <w:rPr>
          <w:rFonts w:ascii="Verdana" w:hAnsi="Verdana"/>
          <w:color w:val="000000"/>
          <w:sz w:val="21"/>
          <w:szCs w:val="21"/>
        </w:rPr>
      </w:pPr>
      <w:r>
        <w:rPr>
          <w:rStyle w:val="Emphasis"/>
          <w:rFonts w:ascii="Verdana" w:hAnsi="Verdana"/>
          <w:color w:val="000000"/>
          <w:sz w:val="21"/>
          <w:szCs w:val="21"/>
        </w:rPr>
        <w:t xml:space="preserve">(Note: This bibliography </w:t>
      </w:r>
      <w:proofErr w:type="gramStart"/>
      <w:r>
        <w:rPr>
          <w:rStyle w:val="Emphasis"/>
          <w:rFonts w:ascii="Verdana" w:hAnsi="Verdana"/>
          <w:color w:val="000000"/>
          <w:sz w:val="21"/>
          <w:szCs w:val="21"/>
        </w:rPr>
        <w:t>will be updated</w:t>
      </w:r>
      <w:proofErr w:type="gramEnd"/>
      <w:r>
        <w:rPr>
          <w:rStyle w:val="Emphasis"/>
          <w:rFonts w:ascii="Verdana" w:hAnsi="Verdana"/>
          <w:color w:val="000000"/>
          <w:sz w:val="21"/>
          <w:szCs w:val="21"/>
        </w:rPr>
        <w:t xml:space="preserve"> regularly.)</w:t>
      </w:r>
    </w:p>
    <w:p w:rsidR="009326BE" w:rsidRDefault="009326BE" w:rsidP="009326BE">
      <w:pPr>
        <w:pStyle w:val="Heading3"/>
        <w:rPr>
          <w:rFonts w:ascii="Verdana" w:hAnsi="Verdana"/>
          <w:color w:val="000000"/>
          <w:sz w:val="26"/>
          <w:szCs w:val="26"/>
        </w:rPr>
      </w:pPr>
      <w:r>
        <w:rPr>
          <w:rFonts w:ascii="Verdana" w:hAnsi="Verdana"/>
          <w:color w:val="000000"/>
          <w:sz w:val="26"/>
          <w:szCs w:val="26"/>
        </w:rPr>
        <w:t>Lexical variation across languages</w:t>
      </w:r>
    </w:p>
    <w:p w:rsidR="009326BE" w:rsidRDefault="009326BE" w:rsidP="009326BE">
      <w:pPr>
        <w:pStyle w:val="NormalWeb"/>
        <w:spacing w:before="0" w:beforeAutospacing="0"/>
        <w:rPr>
          <w:rFonts w:ascii="Verdana" w:hAnsi="Verdana"/>
          <w:color w:val="000000"/>
          <w:sz w:val="21"/>
          <w:szCs w:val="21"/>
        </w:rPr>
      </w:pPr>
      <w:r>
        <w:rPr>
          <w:rStyle w:val="Emphasis"/>
          <w:rFonts w:ascii="Verdana" w:hAnsi="Verdana"/>
          <w:color w:val="000000"/>
          <w:sz w:val="21"/>
          <w:szCs w:val="21"/>
        </w:rPr>
        <w:t>In this review article, the author considers data from a wide array of little-known languages, focusing on words of perception and the body, and explores whether cross-linguistic differences come from cultural practices, environmental realities, or if are mere accidents of history:</w:t>
      </w:r>
    </w:p>
    <w:p w:rsidR="009326BE" w:rsidRDefault="009326BE" w:rsidP="009326BE">
      <w:pPr>
        <w:pStyle w:val="NormalWeb"/>
        <w:rPr>
          <w:rFonts w:ascii="Verdana" w:hAnsi="Verdana"/>
          <w:color w:val="000000"/>
          <w:sz w:val="21"/>
          <w:szCs w:val="21"/>
        </w:rPr>
      </w:pPr>
      <w:r>
        <w:rPr>
          <w:rFonts w:ascii="Verdana" w:hAnsi="Verdana"/>
          <w:color w:val="000000"/>
          <w:sz w:val="21"/>
          <w:szCs w:val="21"/>
        </w:rPr>
        <w:t>Majid, A. (2014) Comparing lexicons cross-linguistically. </w:t>
      </w:r>
      <w:r>
        <w:rPr>
          <w:rStyle w:val="Emphasis"/>
          <w:rFonts w:ascii="Verdana" w:hAnsi="Verdana"/>
          <w:color w:val="000000"/>
          <w:sz w:val="21"/>
          <w:szCs w:val="21"/>
        </w:rPr>
        <w:t>Oxford Handbooks Online. </w:t>
      </w:r>
      <w:r>
        <w:rPr>
          <w:rFonts w:ascii="Verdana" w:hAnsi="Verdana"/>
          <w:color w:val="000000"/>
          <w:sz w:val="21"/>
          <w:szCs w:val="21"/>
        </w:rPr>
        <w:t>doi:10.1093/</w:t>
      </w:r>
      <w:proofErr w:type="spellStart"/>
      <w:r>
        <w:rPr>
          <w:rFonts w:ascii="Verdana" w:hAnsi="Verdana"/>
          <w:color w:val="000000"/>
          <w:sz w:val="21"/>
          <w:szCs w:val="21"/>
        </w:rPr>
        <w:t>oxfordhb</w:t>
      </w:r>
      <w:proofErr w:type="spellEnd"/>
      <w:r>
        <w:rPr>
          <w:rFonts w:ascii="Verdana" w:hAnsi="Verdana"/>
          <w:color w:val="000000"/>
          <w:sz w:val="21"/>
          <w:szCs w:val="21"/>
        </w:rPr>
        <w:t>/9780199641604.013.020.</w:t>
      </w:r>
    </w:p>
    <w:p w:rsidR="009326BE" w:rsidRDefault="009326BE" w:rsidP="009326BE">
      <w:pPr>
        <w:pStyle w:val="NormalWeb"/>
        <w:rPr>
          <w:rFonts w:ascii="Verdana" w:hAnsi="Verdana"/>
          <w:color w:val="000000"/>
          <w:sz w:val="21"/>
          <w:szCs w:val="21"/>
        </w:rPr>
      </w:pPr>
      <w:r>
        <w:rPr>
          <w:rStyle w:val="Emphasis"/>
          <w:rFonts w:ascii="Verdana" w:hAnsi="Verdana"/>
          <w:color w:val="000000"/>
          <w:sz w:val="21"/>
          <w:szCs w:val="21"/>
        </w:rPr>
        <w:t xml:space="preserve">It has been widely thought that the sense of smell does not lend itself to rich lexical encoding, and there have been no known languages with a vocabulary for smells as extensive </w:t>
      </w:r>
      <w:proofErr w:type="gramStart"/>
      <w:r>
        <w:rPr>
          <w:rStyle w:val="Emphasis"/>
          <w:rFonts w:ascii="Verdana" w:hAnsi="Verdana"/>
          <w:color w:val="000000"/>
          <w:sz w:val="21"/>
          <w:szCs w:val="21"/>
        </w:rPr>
        <w:t>as those for color</w:t>
      </w:r>
      <w:proofErr w:type="gramEnd"/>
      <w:r>
        <w:rPr>
          <w:rStyle w:val="Emphasis"/>
          <w:rFonts w:ascii="Verdana" w:hAnsi="Verdana"/>
          <w:color w:val="000000"/>
          <w:sz w:val="21"/>
          <w:szCs w:val="21"/>
        </w:rPr>
        <w:t xml:space="preserve">. However, recently researchers have described the odor lexicon of </w:t>
      </w:r>
      <w:proofErr w:type="spellStart"/>
      <w:r>
        <w:rPr>
          <w:rStyle w:val="Emphasis"/>
          <w:rFonts w:ascii="Verdana" w:hAnsi="Verdana"/>
          <w:color w:val="000000"/>
          <w:sz w:val="21"/>
          <w:szCs w:val="21"/>
        </w:rPr>
        <w:t>Maniq</w:t>
      </w:r>
      <w:proofErr w:type="spellEnd"/>
      <w:r>
        <w:rPr>
          <w:rStyle w:val="Emphasis"/>
          <w:rFonts w:ascii="Verdana" w:hAnsi="Verdana"/>
          <w:color w:val="000000"/>
          <w:sz w:val="21"/>
          <w:szCs w:val="21"/>
        </w:rPr>
        <w:t>, a language spoken by a small group of nomadic hunter-gatherers in Thailand, and concluded that it includes more than a dozen distinct names for smells:</w:t>
      </w:r>
    </w:p>
    <w:p w:rsidR="009326BE" w:rsidRDefault="009326BE" w:rsidP="009326BE">
      <w:pPr>
        <w:pStyle w:val="NormalWeb"/>
        <w:rPr>
          <w:rFonts w:ascii="Verdana" w:hAnsi="Verdana"/>
          <w:color w:val="000000"/>
          <w:sz w:val="21"/>
          <w:szCs w:val="21"/>
        </w:rPr>
      </w:pPr>
      <w:proofErr w:type="spellStart"/>
      <w:r>
        <w:rPr>
          <w:rFonts w:ascii="Verdana" w:hAnsi="Verdana"/>
          <w:color w:val="000000"/>
          <w:sz w:val="21"/>
          <w:szCs w:val="21"/>
        </w:rPr>
        <w:t>Wnuk</w:t>
      </w:r>
      <w:proofErr w:type="spellEnd"/>
      <w:r>
        <w:rPr>
          <w:rFonts w:ascii="Verdana" w:hAnsi="Verdana"/>
          <w:color w:val="000000"/>
          <w:sz w:val="21"/>
          <w:szCs w:val="21"/>
        </w:rPr>
        <w:t xml:space="preserve">, E., &amp; Majid, A. (2014) </w:t>
      </w:r>
      <w:proofErr w:type="gramStart"/>
      <w:r>
        <w:rPr>
          <w:rFonts w:ascii="Verdana" w:hAnsi="Verdana"/>
          <w:color w:val="000000"/>
          <w:sz w:val="21"/>
          <w:szCs w:val="21"/>
        </w:rPr>
        <w:t>Revisiting</w:t>
      </w:r>
      <w:proofErr w:type="gramEnd"/>
      <w:r>
        <w:rPr>
          <w:rFonts w:ascii="Verdana" w:hAnsi="Verdana"/>
          <w:color w:val="000000"/>
          <w:sz w:val="21"/>
          <w:szCs w:val="21"/>
        </w:rPr>
        <w:t xml:space="preserve"> the limits of language: The odor lexicon of </w:t>
      </w:r>
      <w:proofErr w:type="spellStart"/>
      <w:r>
        <w:rPr>
          <w:rFonts w:ascii="Verdana" w:hAnsi="Verdana"/>
          <w:color w:val="000000"/>
          <w:sz w:val="21"/>
          <w:szCs w:val="21"/>
        </w:rPr>
        <w:t>Maniq</w:t>
      </w:r>
      <w:proofErr w:type="spellEnd"/>
      <w:r>
        <w:rPr>
          <w:rFonts w:ascii="Verdana" w:hAnsi="Verdana"/>
          <w:color w:val="000000"/>
          <w:sz w:val="21"/>
          <w:szCs w:val="21"/>
        </w:rPr>
        <w:t>. </w:t>
      </w:r>
      <w:r>
        <w:rPr>
          <w:rStyle w:val="Emphasis"/>
          <w:rFonts w:ascii="Verdana" w:hAnsi="Verdana"/>
          <w:color w:val="000000"/>
          <w:sz w:val="21"/>
          <w:szCs w:val="21"/>
        </w:rPr>
        <w:t>Cognition, 131</w:t>
      </w:r>
      <w:r>
        <w:rPr>
          <w:rFonts w:ascii="Verdana" w:hAnsi="Verdana"/>
          <w:color w:val="000000"/>
          <w:sz w:val="21"/>
          <w:szCs w:val="21"/>
        </w:rPr>
        <w:t>, 125–138.</w:t>
      </w:r>
    </w:p>
    <w:p w:rsidR="009326BE" w:rsidRDefault="009326BE" w:rsidP="009326BE">
      <w:pPr>
        <w:pStyle w:val="Heading3"/>
        <w:rPr>
          <w:rFonts w:ascii="Verdana" w:hAnsi="Verdana"/>
          <w:color w:val="000000"/>
          <w:sz w:val="26"/>
          <w:szCs w:val="26"/>
        </w:rPr>
      </w:pPr>
      <w:r>
        <w:rPr>
          <w:rFonts w:ascii="Verdana" w:hAnsi="Verdana"/>
          <w:color w:val="000000"/>
          <w:sz w:val="26"/>
          <w:szCs w:val="26"/>
        </w:rPr>
        <w:t>Mapping of language and thought</w:t>
      </w:r>
    </w:p>
    <w:p w:rsidR="009326BE" w:rsidRDefault="009326BE" w:rsidP="009326BE">
      <w:pPr>
        <w:pStyle w:val="NormalWeb"/>
        <w:spacing w:before="0" w:beforeAutospacing="0"/>
        <w:rPr>
          <w:rFonts w:ascii="Verdana" w:hAnsi="Verdana"/>
          <w:color w:val="000000"/>
          <w:sz w:val="21"/>
          <w:szCs w:val="21"/>
        </w:rPr>
      </w:pPr>
      <w:r>
        <w:rPr>
          <w:rStyle w:val="Emphasis"/>
          <w:rFonts w:ascii="Verdana" w:hAnsi="Verdana"/>
          <w:color w:val="000000"/>
          <w:sz w:val="21"/>
          <w:szCs w:val="21"/>
        </w:rPr>
        <w:t>This article lays out the various hypotheses about how language and thought map onto each other, considers the existing body of evidence that speaks to these various hypotheses, and presents a detailed case study from research on verbs of motion:</w:t>
      </w:r>
    </w:p>
    <w:p w:rsidR="009326BE" w:rsidRDefault="009326BE" w:rsidP="009326BE">
      <w:pPr>
        <w:pStyle w:val="NormalWeb"/>
        <w:rPr>
          <w:rFonts w:ascii="Verdana" w:hAnsi="Verdana"/>
          <w:color w:val="000000"/>
          <w:sz w:val="21"/>
          <w:szCs w:val="21"/>
        </w:rPr>
      </w:pPr>
      <w:r>
        <w:rPr>
          <w:rFonts w:ascii="Verdana" w:hAnsi="Verdana"/>
          <w:color w:val="000000"/>
          <w:sz w:val="21"/>
          <w:szCs w:val="21"/>
        </w:rPr>
        <w:t xml:space="preserve">Malt, B. C., </w:t>
      </w:r>
      <w:proofErr w:type="spellStart"/>
      <w:r>
        <w:rPr>
          <w:rFonts w:ascii="Verdana" w:hAnsi="Verdana"/>
          <w:color w:val="000000"/>
          <w:sz w:val="21"/>
          <w:szCs w:val="21"/>
        </w:rPr>
        <w:t>Gennari</w:t>
      </w:r>
      <w:proofErr w:type="spellEnd"/>
      <w:r>
        <w:rPr>
          <w:rFonts w:ascii="Verdana" w:hAnsi="Verdana"/>
          <w:color w:val="000000"/>
          <w:sz w:val="21"/>
          <w:szCs w:val="21"/>
        </w:rPr>
        <w:t>, S., &amp; Imai, M. (2010) Lexicalization patterns and the world-to-words mapping.  In B. C. Malt &amp; Phillip Wolff, (Eds.), </w:t>
      </w:r>
      <w:r>
        <w:rPr>
          <w:rStyle w:val="Emphasis"/>
          <w:rFonts w:ascii="Verdana" w:hAnsi="Verdana"/>
          <w:color w:val="000000"/>
          <w:sz w:val="21"/>
          <w:szCs w:val="21"/>
        </w:rPr>
        <w:t>Words and the Mind: How Words Capture Human Experience</w:t>
      </w:r>
      <w:r>
        <w:rPr>
          <w:rFonts w:ascii="Verdana" w:hAnsi="Verdana"/>
          <w:color w:val="000000"/>
          <w:sz w:val="21"/>
          <w:szCs w:val="21"/>
        </w:rPr>
        <w:t>, (pp. 29–57). Oxford: Oxford University Press.</w:t>
      </w:r>
    </w:p>
    <w:p w:rsidR="009326BE" w:rsidRDefault="009326BE" w:rsidP="009326BE">
      <w:pPr>
        <w:pStyle w:val="NormalWeb"/>
        <w:rPr>
          <w:rFonts w:ascii="Verdana" w:hAnsi="Verdana"/>
          <w:color w:val="000000"/>
          <w:sz w:val="21"/>
          <w:szCs w:val="21"/>
        </w:rPr>
      </w:pPr>
      <w:r>
        <w:rPr>
          <w:rStyle w:val="Emphasis"/>
          <w:rFonts w:ascii="Verdana" w:hAnsi="Verdana"/>
          <w:color w:val="000000"/>
          <w:sz w:val="21"/>
          <w:szCs w:val="21"/>
        </w:rPr>
        <w:t xml:space="preserve">The </w:t>
      </w:r>
      <w:proofErr w:type="spellStart"/>
      <w:r>
        <w:rPr>
          <w:rStyle w:val="Emphasis"/>
          <w:rFonts w:ascii="Verdana" w:hAnsi="Verdana"/>
          <w:color w:val="000000"/>
          <w:sz w:val="21"/>
          <w:szCs w:val="21"/>
        </w:rPr>
        <w:t>Pirahã</w:t>
      </w:r>
      <w:proofErr w:type="spellEnd"/>
      <w:r>
        <w:rPr>
          <w:rStyle w:val="Emphasis"/>
          <w:rFonts w:ascii="Verdana" w:hAnsi="Verdana"/>
          <w:color w:val="000000"/>
          <w:sz w:val="21"/>
          <w:szCs w:val="21"/>
        </w:rPr>
        <w:t xml:space="preserve"> language appears to have only three numerical words, meaning “one,” “two,” and “many,” and the speakers of this language have trouble with complex numerical tasks. This paper argues that when English speakers </w:t>
      </w:r>
      <w:proofErr w:type="gramStart"/>
      <w:r>
        <w:rPr>
          <w:rStyle w:val="Emphasis"/>
          <w:rFonts w:ascii="Verdana" w:hAnsi="Verdana"/>
          <w:color w:val="000000"/>
          <w:sz w:val="21"/>
          <w:szCs w:val="21"/>
        </w:rPr>
        <w:t>are prevented</w:t>
      </w:r>
      <w:proofErr w:type="gramEnd"/>
      <w:r>
        <w:rPr>
          <w:rStyle w:val="Emphasis"/>
          <w:rFonts w:ascii="Verdana" w:hAnsi="Verdana"/>
          <w:color w:val="000000"/>
          <w:sz w:val="21"/>
          <w:szCs w:val="21"/>
        </w:rPr>
        <w:t xml:space="preserve"> from accessing linguistic representations through verbal interference, their numerical cognition resembles that of </w:t>
      </w:r>
      <w:proofErr w:type="spellStart"/>
      <w:r>
        <w:rPr>
          <w:rStyle w:val="Emphasis"/>
          <w:rFonts w:ascii="Verdana" w:hAnsi="Verdana"/>
          <w:color w:val="000000"/>
          <w:sz w:val="21"/>
          <w:szCs w:val="21"/>
        </w:rPr>
        <w:t>Pirahã</w:t>
      </w:r>
      <w:proofErr w:type="spellEnd"/>
      <w:r>
        <w:rPr>
          <w:rStyle w:val="Emphasis"/>
          <w:rFonts w:ascii="Verdana" w:hAnsi="Verdana"/>
          <w:color w:val="000000"/>
          <w:sz w:val="21"/>
          <w:szCs w:val="21"/>
        </w:rPr>
        <w:t xml:space="preserve"> speakers:</w:t>
      </w:r>
    </w:p>
    <w:p w:rsidR="009326BE" w:rsidRDefault="009326BE" w:rsidP="009326BE">
      <w:pPr>
        <w:pStyle w:val="NormalWeb"/>
        <w:rPr>
          <w:rFonts w:ascii="Verdana" w:hAnsi="Verdana"/>
          <w:color w:val="000000"/>
          <w:sz w:val="21"/>
          <w:szCs w:val="21"/>
        </w:rPr>
      </w:pPr>
      <w:r>
        <w:rPr>
          <w:rFonts w:ascii="Verdana" w:hAnsi="Verdana"/>
          <w:color w:val="000000"/>
          <w:sz w:val="21"/>
          <w:szCs w:val="21"/>
        </w:rPr>
        <w:t xml:space="preserve">Frank, M.C., </w:t>
      </w:r>
      <w:proofErr w:type="spellStart"/>
      <w:r>
        <w:rPr>
          <w:rFonts w:ascii="Verdana" w:hAnsi="Verdana"/>
          <w:color w:val="000000"/>
          <w:sz w:val="21"/>
          <w:szCs w:val="21"/>
        </w:rPr>
        <w:t>Fedorenko</w:t>
      </w:r>
      <w:proofErr w:type="spellEnd"/>
      <w:r>
        <w:rPr>
          <w:rFonts w:ascii="Verdana" w:hAnsi="Verdana"/>
          <w:color w:val="000000"/>
          <w:sz w:val="21"/>
          <w:szCs w:val="21"/>
        </w:rPr>
        <w:t>, E., Lai, P., Saxe, R., &amp; Gibson, E. (2012) Verbal interference suppresses exact numerical representation. </w:t>
      </w:r>
      <w:r>
        <w:rPr>
          <w:rStyle w:val="Emphasis"/>
          <w:rFonts w:ascii="Verdana" w:hAnsi="Verdana"/>
          <w:color w:val="000000"/>
          <w:sz w:val="21"/>
          <w:szCs w:val="21"/>
        </w:rPr>
        <w:t>Cognitive Psychology, 64</w:t>
      </w:r>
      <w:r>
        <w:rPr>
          <w:rFonts w:ascii="Verdana" w:hAnsi="Verdana"/>
          <w:color w:val="000000"/>
          <w:sz w:val="21"/>
          <w:szCs w:val="21"/>
        </w:rPr>
        <w:t>, 74–92.</w:t>
      </w:r>
    </w:p>
    <w:p w:rsidR="00762A28" w:rsidRDefault="00762A28" w:rsidP="00762A28">
      <w:pPr>
        <w:pStyle w:val="NormalWeb"/>
        <w:rPr>
          <w:rFonts w:ascii="Verdana" w:hAnsi="Verdana"/>
          <w:color w:val="000000"/>
          <w:sz w:val="21"/>
          <w:szCs w:val="21"/>
        </w:rPr>
      </w:pPr>
    </w:p>
    <w:p w:rsidR="00F04E28" w:rsidRDefault="00BC4CB2">
      <w:r>
        <w:rPr>
          <w:rFonts w:cstheme="minorHAnsi"/>
        </w:rPr>
        <w:t xml:space="preserve">© 2019 </w:t>
      </w:r>
      <w:r>
        <w:t xml:space="preserve">Oxford University Press </w:t>
      </w:r>
      <w:bookmarkStart w:id="0" w:name="_GoBack"/>
      <w:bookmarkEnd w:id="0"/>
    </w:p>
    <w:sectPr w:rsidR="00F04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5D"/>
    <w:rsid w:val="00243D79"/>
    <w:rsid w:val="002645F1"/>
    <w:rsid w:val="0029302F"/>
    <w:rsid w:val="00294AB8"/>
    <w:rsid w:val="002F23C3"/>
    <w:rsid w:val="004717CD"/>
    <w:rsid w:val="00611621"/>
    <w:rsid w:val="006467EA"/>
    <w:rsid w:val="006B7046"/>
    <w:rsid w:val="006D35C5"/>
    <w:rsid w:val="00762A28"/>
    <w:rsid w:val="00833027"/>
    <w:rsid w:val="009326BE"/>
    <w:rsid w:val="00983CDD"/>
    <w:rsid w:val="00A44ECF"/>
    <w:rsid w:val="00BB1BB1"/>
    <w:rsid w:val="00BC4CB2"/>
    <w:rsid w:val="00BE7529"/>
    <w:rsid w:val="00BF1EFD"/>
    <w:rsid w:val="00D7215D"/>
    <w:rsid w:val="00F0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B806"/>
  <w15:chartTrackingRefBased/>
  <w15:docId w15:val="{39646935-A410-4FD1-9D6A-EF5C9EEC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21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721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15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721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721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215D"/>
    <w:rPr>
      <w:i/>
      <w:iCs/>
    </w:rPr>
  </w:style>
  <w:style w:type="character" w:styleId="Hyperlink">
    <w:name w:val="Hyperlink"/>
    <w:basedOn w:val="DefaultParagraphFont"/>
    <w:uiPriority w:val="99"/>
    <w:unhideWhenUsed/>
    <w:rsid w:val="00D7215D"/>
    <w:rPr>
      <w:color w:val="0000FF"/>
      <w:u w:val="single"/>
    </w:rPr>
  </w:style>
  <w:style w:type="character" w:styleId="Strong">
    <w:name w:val="Strong"/>
    <w:basedOn w:val="DefaultParagraphFont"/>
    <w:uiPriority w:val="22"/>
    <w:qFormat/>
    <w:rsid w:val="00611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478">
      <w:bodyDiv w:val="1"/>
      <w:marLeft w:val="0"/>
      <w:marRight w:val="0"/>
      <w:marTop w:val="0"/>
      <w:marBottom w:val="0"/>
      <w:divBdr>
        <w:top w:val="none" w:sz="0" w:space="0" w:color="auto"/>
        <w:left w:val="none" w:sz="0" w:space="0" w:color="auto"/>
        <w:bottom w:val="none" w:sz="0" w:space="0" w:color="auto"/>
        <w:right w:val="none" w:sz="0" w:space="0" w:color="auto"/>
      </w:divBdr>
    </w:div>
    <w:div w:id="95293543">
      <w:bodyDiv w:val="1"/>
      <w:marLeft w:val="0"/>
      <w:marRight w:val="0"/>
      <w:marTop w:val="0"/>
      <w:marBottom w:val="0"/>
      <w:divBdr>
        <w:top w:val="none" w:sz="0" w:space="0" w:color="auto"/>
        <w:left w:val="none" w:sz="0" w:space="0" w:color="auto"/>
        <w:bottom w:val="none" w:sz="0" w:space="0" w:color="auto"/>
        <w:right w:val="none" w:sz="0" w:space="0" w:color="auto"/>
      </w:divBdr>
    </w:div>
    <w:div w:id="382369429">
      <w:bodyDiv w:val="1"/>
      <w:marLeft w:val="0"/>
      <w:marRight w:val="0"/>
      <w:marTop w:val="0"/>
      <w:marBottom w:val="0"/>
      <w:divBdr>
        <w:top w:val="none" w:sz="0" w:space="0" w:color="auto"/>
        <w:left w:val="none" w:sz="0" w:space="0" w:color="auto"/>
        <w:bottom w:val="none" w:sz="0" w:space="0" w:color="auto"/>
        <w:right w:val="none" w:sz="0" w:space="0" w:color="auto"/>
      </w:divBdr>
    </w:div>
    <w:div w:id="668873117">
      <w:bodyDiv w:val="1"/>
      <w:marLeft w:val="0"/>
      <w:marRight w:val="0"/>
      <w:marTop w:val="0"/>
      <w:marBottom w:val="0"/>
      <w:divBdr>
        <w:top w:val="none" w:sz="0" w:space="0" w:color="auto"/>
        <w:left w:val="none" w:sz="0" w:space="0" w:color="auto"/>
        <w:bottom w:val="none" w:sz="0" w:space="0" w:color="auto"/>
        <w:right w:val="none" w:sz="0" w:space="0" w:color="auto"/>
      </w:divBdr>
    </w:div>
    <w:div w:id="714238698">
      <w:bodyDiv w:val="1"/>
      <w:marLeft w:val="0"/>
      <w:marRight w:val="0"/>
      <w:marTop w:val="0"/>
      <w:marBottom w:val="0"/>
      <w:divBdr>
        <w:top w:val="none" w:sz="0" w:space="0" w:color="auto"/>
        <w:left w:val="none" w:sz="0" w:space="0" w:color="auto"/>
        <w:bottom w:val="none" w:sz="0" w:space="0" w:color="auto"/>
        <w:right w:val="none" w:sz="0" w:space="0" w:color="auto"/>
      </w:divBdr>
    </w:div>
    <w:div w:id="870412310">
      <w:bodyDiv w:val="1"/>
      <w:marLeft w:val="0"/>
      <w:marRight w:val="0"/>
      <w:marTop w:val="0"/>
      <w:marBottom w:val="0"/>
      <w:divBdr>
        <w:top w:val="none" w:sz="0" w:space="0" w:color="auto"/>
        <w:left w:val="none" w:sz="0" w:space="0" w:color="auto"/>
        <w:bottom w:val="none" w:sz="0" w:space="0" w:color="auto"/>
        <w:right w:val="none" w:sz="0" w:space="0" w:color="auto"/>
      </w:divBdr>
    </w:div>
    <w:div w:id="1067263095">
      <w:bodyDiv w:val="1"/>
      <w:marLeft w:val="0"/>
      <w:marRight w:val="0"/>
      <w:marTop w:val="0"/>
      <w:marBottom w:val="0"/>
      <w:divBdr>
        <w:top w:val="none" w:sz="0" w:space="0" w:color="auto"/>
        <w:left w:val="none" w:sz="0" w:space="0" w:color="auto"/>
        <w:bottom w:val="none" w:sz="0" w:space="0" w:color="auto"/>
        <w:right w:val="none" w:sz="0" w:space="0" w:color="auto"/>
      </w:divBdr>
    </w:div>
    <w:div w:id="1218780765">
      <w:bodyDiv w:val="1"/>
      <w:marLeft w:val="0"/>
      <w:marRight w:val="0"/>
      <w:marTop w:val="0"/>
      <w:marBottom w:val="0"/>
      <w:divBdr>
        <w:top w:val="none" w:sz="0" w:space="0" w:color="auto"/>
        <w:left w:val="none" w:sz="0" w:space="0" w:color="auto"/>
        <w:bottom w:val="none" w:sz="0" w:space="0" w:color="auto"/>
        <w:right w:val="none" w:sz="0" w:space="0" w:color="auto"/>
      </w:divBdr>
    </w:div>
    <w:div w:id="1291210133">
      <w:bodyDiv w:val="1"/>
      <w:marLeft w:val="0"/>
      <w:marRight w:val="0"/>
      <w:marTop w:val="0"/>
      <w:marBottom w:val="0"/>
      <w:divBdr>
        <w:top w:val="none" w:sz="0" w:space="0" w:color="auto"/>
        <w:left w:val="none" w:sz="0" w:space="0" w:color="auto"/>
        <w:bottom w:val="none" w:sz="0" w:space="0" w:color="auto"/>
        <w:right w:val="none" w:sz="0" w:space="0" w:color="auto"/>
      </w:divBdr>
    </w:div>
    <w:div w:id="1523275023">
      <w:bodyDiv w:val="1"/>
      <w:marLeft w:val="0"/>
      <w:marRight w:val="0"/>
      <w:marTop w:val="0"/>
      <w:marBottom w:val="0"/>
      <w:divBdr>
        <w:top w:val="none" w:sz="0" w:space="0" w:color="auto"/>
        <w:left w:val="none" w:sz="0" w:space="0" w:color="auto"/>
        <w:bottom w:val="none" w:sz="0" w:space="0" w:color="auto"/>
        <w:right w:val="none" w:sz="0" w:space="0" w:color="auto"/>
      </w:divBdr>
    </w:div>
    <w:div w:id="1908027275">
      <w:bodyDiv w:val="1"/>
      <w:marLeft w:val="0"/>
      <w:marRight w:val="0"/>
      <w:marTop w:val="0"/>
      <w:marBottom w:val="0"/>
      <w:divBdr>
        <w:top w:val="none" w:sz="0" w:space="0" w:color="auto"/>
        <w:left w:val="none" w:sz="0" w:space="0" w:color="auto"/>
        <w:bottom w:val="none" w:sz="0" w:space="0" w:color="auto"/>
        <w:right w:val="none" w:sz="0" w:space="0" w:color="auto"/>
      </w:divBdr>
    </w:div>
    <w:div w:id="20048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Lacey</dc:creator>
  <cp:keywords/>
  <dc:description/>
  <cp:lastModifiedBy>Peter Lacey</cp:lastModifiedBy>
  <cp:revision>32</cp:revision>
  <dcterms:created xsi:type="dcterms:W3CDTF">2018-11-27T20:01:00Z</dcterms:created>
  <dcterms:modified xsi:type="dcterms:W3CDTF">2019-04-09T15:21:00Z</dcterms:modified>
</cp:coreProperties>
</file>