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2DE2B" w14:textId="77777777" w:rsidR="00764D7A" w:rsidRPr="002E5D50" w:rsidRDefault="00764D7A" w:rsidP="002E5D50">
      <w:pPr>
        <w:spacing w:after="0" w:line="240" w:lineRule="auto"/>
        <w:jc w:val="both"/>
        <w:rPr>
          <w:rFonts w:asciiTheme="minorHAnsi" w:hAnsiTheme="minorHAnsi" w:cs="Arial"/>
          <w:b/>
          <w:sz w:val="21"/>
          <w:szCs w:val="21"/>
        </w:rPr>
      </w:pPr>
    </w:p>
    <w:p w14:paraId="1BC20372" w14:textId="50654068" w:rsidR="00204F58" w:rsidRPr="002E5D50" w:rsidRDefault="002E5D50" w:rsidP="002E5D50">
      <w:pPr>
        <w:spacing w:after="0" w:line="240" w:lineRule="auto"/>
        <w:jc w:val="center"/>
        <w:rPr>
          <w:rFonts w:asciiTheme="minorHAnsi" w:hAnsiTheme="minorHAnsi" w:cs="Arial"/>
          <w:b/>
          <w:sz w:val="32"/>
          <w:szCs w:val="21"/>
        </w:rPr>
      </w:pPr>
      <w:r w:rsidRPr="002E5D50">
        <w:rPr>
          <w:rFonts w:asciiTheme="minorHAnsi" w:hAnsiTheme="minorHAnsi" w:cs="Arial"/>
          <w:b/>
          <w:sz w:val="32"/>
          <w:szCs w:val="21"/>
        </w:rPr>
        <w:t xml:space="preserve">Chapter </w:t>
      </w:r>
      <w:r w:rsidR="001778C3">
        <w:rPr>
          <w:rFonts w:asciiTheme="minorHAnsi" w:hAnsiTheme="minorHAnsi" w:cs="Arial"/>
          <w:b/>
          <w:sz w:val="32"/>
          <w:szCs w:val="21"/>
        </w:rPr>
        <w:t>3</w:t>
      </w:r>
    </w:p>
    <w:p w14:paraId="7D0AEE7F" w14:textId="77777777" w:rsidR="00204F58" w:rsidRPr="002E5D50" w:rsidRDefault="00204F58" w:rsidP="002E5D50">
      <w:pPr>
        <w:spacing w:after="0" w:line="240" w:lineRule="auto"/>
        <w:jc w:val="both"/>
        <w:rPr>
          <w:rFonts w:asciiTheme="minorHAnsi" w:hAnsiTheme="minorHAnsi" w:cs="Arial"/>
          <w:b/>
          <w:sz w:val="21"/>
          <w:szCs w:val="21"/>
        </w:rPr>
      </w:pPr>
    </w:p>
    <w:p w14:paraId="1F7C1D5F" w14:textId="34D5D239" w:rsidR="001778C3" w:rsidRPr="002E5D50" w:rsidRDefault="001778C3" w:rsidP="001778C3">
      <w:pPr>
        <w:spacing w:after="0" w:line="240" w:lineRule="auto"/>
        <w:jc w:val="both"/>
        <w:rPr>
          <w:rFonts w:asciiTheme="minorHAnsi" w:hAnsiTheme="minorHAnsi" w:cs="Arial"/>
          <w:b/>
          <w:sz w:val="21"/>
          <w:szCs w:val="21"/>
        </w:rPr>
      </w:pPr>
      <w:r w:rsidRPr="002E5D50">
        <w:rPr>
          <w:rFonts w:asciiTheme="minorHAnsi" w:hAnsiTheme="minorHAnsi" w:cs="Arial"/>
          <w:b/>
          <w:sz w:val="21"/>
          <w:szCs w:val="21"/>
        </w:rPr>
        <w:t xml:space="preserve">Question </w:t>
      </w:r>
      <w:r>
        <w:rPr>
          <w:rFonts w:asciiTheme="minorHAnsi" w:hAnsiTheme="minorHAnsi" w:cs="Arial"/>
          <w:b/>
          <w:sz w:val="21"/>
          <w:szCs w:val="21"/>
        </w:rPr>
        <w:t>1</w:t>
      </w:r>
      <w:r w:rsidRPr="002E5D50">
        <w:rPr>
          <w:rFonts w:asciiTheme="minorHAnsi" w:hAnsiTheme="minorHAnsi" w:cs="Arial"/>
          <w:b/>
          <w:sz w:val="21"/>
          <w:szCs w:val="21"/>
        </w:rPr>
        <w:t xml:space="preserve">: What is </w:t>
      </w:r>
      <w:r>
        <w:rPr>
          <w:rFonts w:asciiTheme="minorHAnsi" w:hAnsiTheme="minorHAnsi" w:cs="Arial"/>
          <w:b/>
          <w:sz w:val="21"/>
          <w:szCs w:val="21"/>
        </w:rPr>
        <w:t>the key difference between a property right and a personal right?</w:t>
      </w:r>
    </w:p>
    <w:p w14:paraId="777F79CF" w14:textId="77777777" w:rsidR="001778C3" w:rsidRDefault="001778C3" w:rsidP="001778C3">
      <w:pPr>
        <w:spacing w:after="0" w:line="240" w:lineRule="auto"/>
        <w:jc w:val="both"/>
        <w:rPr>
          <w:rFonts w:asciiTheme="minorHAnsi" w:hAnsiTheme="minorHAnsi" w:cs="Arial"/>
          <w:b/>
          <w:sz w:val="21"/>
          <w:szCs w:val="21"/>
        </w:rPr>
      </w:pPr>
    </w:p>
    <w:p w14:paraId="7070F228" w14:textId="572D12DB" w:rsidR="001778C3" w:rsidRDefault="001778C3" w:rsidP="001778C3">
      <w:pPr>
        <w:spacing w:after="0" w:line="240" w:lineRule="auto"/>
        <w:jc w:val="both"/>
        <w:rPr>
          <w:rFonts w:asciiTheme="minorHAnsi" w:hAnsiTheme="minorHAnsi" w:cs="Arial"/>
          <w:sz w:val="21"/>
          <w:szCs w:val="21"/>
        </w:rPr>
      </w:pPr>
      <w:r>
        <w:rPr>
          <w:rFonts w:asciiTheme="minorHAnsi" w:hAnsiTheme="minorHAnsi" w:cs="Arial"/>
          <w:sz w:val="21"/>
          <w:szCs w:val="21"/>
        </w:rPr>
        <w:t xml:space="preserve">As noted at </w:t>
      </w:r>
      <w:r>
        <w:rPr>
          <w:rFonts w:asciiTheme="minorHAnsi" w:hAnsiTheme="minorHAnsi" w:cs="Arial"/>
          <w:b/>
          <w:sz w:val="21"/>
          <w:szCs w:val="21"/>
        </w:rPr>
        <w:t>1.14</w:t>
      </w:r>
      <w:r w:rsidRPr="00AA1A92">
        <w:rPr>
          <w:rFonts w:asciiTheme="minorHAnsi" w:hAnsiTheme="minorHAnsi" w:cs="Arial"/>
          <w:sz w:val="21"/>
          <w:szCs w:val="21"/>
        </w:rPr>
        <w:t>,</w:t>
      </w:r>
      <w:r>
        <w:rPr>
          <w:rFonts w:asciiTheme="minorHAnsi" w:hAnsiTheme="minorHAnsi" w:cs="Arial"/>
          <w:sz w:val="21"/>
          <w:szCs w:val="21"/>
        </w:rPr>
        <w:t xml:space="preserve"> and also </w:t>
      </w:r>
      <w:r>
        <w:rPr>
          <w:rFonts w:asciiTheme="minorHAnsi" w:hAnsiTheme="minorHAnsi" w:cs="Arial"/>
          <w:b/>
          <w:sz w:val="21"/>
          <w:szCs w:val="21"/>
        </w:rPr>
        <w:t>3.1-3.4</w:t>
      </w:r>
      <w:r>
        <w:rPr>
          <w:rFonts w:asciiTheme="minorHAnsi" w:hAnsiTheme="minorHAnsi" w:cs="Arial"/>
          <w:sz w:val="21"/>
          <w:szCs w:val="21"/>
        </w:rPr>
        <w:t>,</w:t>
      </w:r>
      <w:r>
        <w:rPr>
          <w:rFonts w:asciiTheme="minorHAnsi" w:hAnsiTheme="minorHAnsi" w:cs="Arial"/>
          <w:b/>
          <w:sz w:val="21"/>
          <w:szCs w:val="21"/>
        </w:rPr>
        <w:t xml:space="preserve"> </w:t>
      </w:r>
      <w:r w:rsidRPr="001778C3">
        <w:rPr>
          <w:rFonts w:asciiTheme="minorHAnsi" w:hAnsiTheme="minorHAnsi" w:cs="Arial"/>
          <w:sz w:val="21"/>
          <w:szCs w:val="21"/>
        </w:rPr>
        <w:t>the</w:t>
      </w:r>
      <w:r>
        <w:rPr>
          <w:rFonts w:asciiTheme="minorHAnsi" w:hAnsiTheme="minorHAnsi" w:cs="Arial"/>
          <w:sz w:val="21"/>
          <w:szCs w:val="21"/>
        </w:rPr>
        <w:t xml:space="preserve"> key difference is that if B has a personal right against A, that right, by itself, binds only A. A personal right is a right against a specific person. In contrast, a property right is not defined by reference to a specific person, as it relates instead to something independent of a specific person, such as some land. </w:t>
      </w:r>
    </w:p>
    <w:p w14:paraId="3806E164" w14:textId="77777777" w:rsidR="001778C3" w:rsidRDefault="001778C3" w:rsidP="001778C3">
      <w:pPr>
        <w:spacing w:after="0" w:line="240" w:lineRule="auto"/>
        <w:jc w:val="both"/>
        <w:rPr>
          <w:rFonts w:asciiTheme="minorHAnsi" w:hAnsiTheme="minorHAnsi" w:cs="Arial"/>
          <w:sz w:val="21"/>
          <w:szCs w:val="21"/>
        </w:rPr>
      </w:pPr>
    </w:p>
    <w:p w14:paraId="7B0192B7" w14:textId="45A2398F" w:rsidR="001778C3" w:rsidRDefault="001778C3" w:rsidP="001778C3">
      <w:pPr>
        <w:spacing w:after="0" w:line="240" w:lineRule="auto"/>
        <w:jc w:val="both"/>
        <w:rPr>
          <w:rFonts w:ascii="Arial" w:hAnsi="Arial" w:cs="Arial"/>
          <w:sz w:val="20"/>
          <w:szCs w:val="20"/>
        </w:rPr>
      </w:pPr>
      <w:r>
        <w:rPr>
          <w:rFonts w:asciiTheme="minorHAnsi" w:hAnsiTheme="minorHAnsi" w:cs="Arial"/>
          <w:sz w:val="21"/>
          <w:szCs w:val="21"/>
        </w:rPr>
        <w:t xml:space="preserve">The practical implications of this are explored throughout the book, but a good example is provided by </w:t>
      </w:r>
      <w:r w:rsidR="00310BC5">
        <w:rPr>
          <w:rFonts w:asciiTheme="minorHAnsi" w:hAnsiTheme="minorHAnsi" w:cs="Arial"/>
          <w:i/>
          <w:sz w:val="21"/>
          <w:szCs w:val="21"/>
        </w:rPr>
        <w:t xml:space="preserve">National Provincial Bank v </w:t>
      </w:r>
      <w:r>
        <w:rPr>
          <w:rFonts w:asciiTheme="minorHAnsi" w:hAnsiTheme="minorHAnsi" w:cs="Arial"/>
          <w:i/>
          <w:sz w:val="21"/>
          <w:szCs w:val="21"/>
        </w:rPr>
        <w:t xml:space="preserve">Ainsworth </w:t>
      </w:r>
      <w:r>
        <w:rPr>
          <w:rFonts w:asciiTheme="minorHAnsi" w:hAnsiTheme="minorHAnsi" w:cs="Arial"/>
          <w:sz w:val="21"/>
          <w:szCs w:val="21"/>
        </w:rPr>
        <w:t xml:space="preserve">(1965) as discussed at </w:t>
      </w:r>
      <w:r>
        <w:rPr>
          <w:rFonts w:asciiTheme="minorHAnsi" w:hAnsiTheme="minorHAnsi" w:cs="Arial"/>
          <w:b/>
          <w:sz w:val="21"/>
          <w:szCs w:val="21"/>
        </w:rPr>
        <w:t>1.58-1.62</w:t>
      </w:r>
      <w:r>
        <w:rPr>
          <w:rFonts w:asciiTheme="minorHAnsi" w:hAnsiTheme="minorHAnsi" w:cs="Arial"/>
          <w:sz w:val="21"/>
          <w:szCs w:val="21"/>
        </w:rPr>
        <w:t>. The Court of Appeal had found that Mrs Ainsworth’s right was a property right and so was capable of binding not only Mr Ainsworth, but also the bank, who had acquired a right in the land when Mr Ainsworth granted them a charge over the land. The House of Lords reversed this finding, holding that instead Mrs Ainsworth’s right was only a personal right against her husband, and so did not bind the bank, wh</w:t>
      </w:r>
      <w:r w:rsidR="00310BC5">
        <w:rPr>
          <w:rFonts w:asciiTheme="minorHAnsi" w:hAnsiTheme="minorHAnsi" w:cs="Arial"/>
          <w:sz w:val="21"/>
          <w:szCs w:val="21"/>
        </w:rPr>
        <w:t>ich</w:t>
      </w:r>
      <w:r>
        <w:rPr>
          <w:rFonts w:asciiTheme="minorHAnsi" w:hAnsiTheme="minorHAnsi" w:cs="Arial"/>
          <w:sz w:val="21"/>
          <w:szCs w:val="21"/>
        </w:rPr>
        <w:t xml:space="preserve"> w</w:t>
      </w:r>
      <w:r w:rsidR="00310BC5">
        <w:rPr>
          <w:rFonts w:asciiTheme="minorHAnsi" w:hAnsiTheme="minorHAnsi" w:cs="Arial"/>
          <w:sz w:val="21"/>
          <w:szCs w:val="21"/>
        </w:rPr>
        <w:t>as</w:t>
      </w:r>
      <w:r>
        <w:rPr>
          <w:rFonts w:asciiTheme="minorHAnsi" w:hAnsiTheme="minorHAnsi" w:cs="Arial"/>
          <w:sz w:val="21"/>
          <w:szCs w:val="21"/>
        </w:rPr>
        <w:t xml:space="preserve"> then free to insist that Mrs Ainsworth leave the property. </w:t>
      </w:r>
    </w:p>
    <w:p w14:paraId="06666B13" w14:textId="77777777" w:rsidR="001778C3" w:rsidRPr="002E5D50" w:rsidRDefault="001778C3" w:rsidP="001778C3">
      <w:pPr>
        <w:spacing w:after="0" w:line="240" w:lineRule="auto"/>
        <w:jc w:val="both"/>
        <w:rPr>
          <w:rFonts w:asciiTheme="minorHAnsi" w:hAnsiTheme="minorHAnsi" w:cs="Arial"/>
          <w:b/>
          <w:sz w:val="21"/>
          <w:szCs w:val="21"/>
        </w:rPr>
      </w:pPr>
    </w:p>
    <w:p w14:paraId="276C8649" w14:textId="4F392208" w:rsidR="00FA3284" w:rsidRDefault="00FA3284" w:rsidP="002E5D50">
      <w:pPr>
        <w:spacing w:after="0" w:line="240" w:lineRule="auto"/>
        <w:jc w:val="both"/>
        <w:rPr>
          <w:rFonts w:asciiTheme="minorHAnsi" w:hAnsiTheme="minorHAnsi" w:cs="Arial"/>
          <w:b/>
          <w:sz w:val="21"/>
          <w:szCs w:val="21"/>
        </w:rPr>
      </w:pPr>
      <w:r w:rsidRPr="002E5D50">
        <w:rPr>
          <w:rFonts w:asciiTheme="minorHAnsi" w:hAnsiTheme="minorHAnsi" w:cs="Arial"/>
          <w:b/>
          <w:sz w:val="21"/>
          <w:szCs w:val="21"/>
        </w:rPr>
        <w:t xml:space="preserve">Question </w:t>
      </w:r>
      <w:r w:rsidR="001778C3">
        <w:rPr>
          <w:rFonts w:asciiTheme="minorHAnsi" w:hAnsiTheme="minorHAnsi" w:cs="Arial"/>
          <w:b/>
          <w:sz w:val="21"/>
          <w:szCs w:val="21"/>
        </w:rPr>
        <w:t>2</w:t>
      </w:r>
      <w:r w:rsidRPr="002E5D50">
        <w:rPr>
          <w:rFonts w:asciiTheme="minorHAnsi" w:hAnsiTheme="minorHAnsi" w:cs="Arial"/>
          <w:b/>
          <w:sz w:val="21"/>
          <w:szCs w:val="21"/>
        </w:rPr>
        <w:t xml:space="preserve">: </w:t>
      </w:r>
      <w:r w:rsidR="00AA1A92">
        <w:rPr>
          <w:rFonts w:asciiTheme="minorHAnsi" w:hAnsiTheme="minorHAnsi" w:cs="Arial"/>
          <w:b/>
          <w:sz w:val="21"/>
          <w:szCs w:val="21"/>
        </w:rPr>
        <w:t xml:space="preserve">What </w:t>
      </w:r>
      <w:r w:rsidR="001778C3">
        <w:rPr>
          <w:rFonts w:asciiTheme="minorHAnsi" w:hAnsiTheme="minorHAnsi" w:cs="Arial"/>
          <w:b/>
          <w:sz w:val="21"/>
          <w:szCs w:val="21"/>
        </w:rPr>
        <w:t xml:space="preserve">is the </w:t>
      </w:r>
      <w:r w:rsidR="001778C3">
        <w:rPr>
          <w:rFonts w:asciiTheme="minorHAnsi" w:hAnsiTheme="minorHAnsi" w:cs="Arial"/>
          <w:b/>
          <w:i/>
          <w:sz w:val="21"/>
          <w:szCs w:val="21"/>
        </w:rPr>
        <w:t xml:space="preserve">numerus clausus </w:t>
      </w:r>
      <w:r w:rsidR="001778C3">
        <w:rPr>
          <w:rFonts w:asciiTheme="minorHAnsi" w:hAnsiTheme="minorHAnsi" w:cs="Arial"/>
          <w:b/>
          <w:sz w:val="21"/>
          <w:szCs w:val="21"/>
        </w:rPr>
        <w:t>principle</w:t>
      </w:r>
      <w:r w:rsidR="00AA1A92">
        <w:rPr>
          <w:rFonts w:asciiTheme="minorHAnsi" w:hAnsiTheme="minorHAnsi" w:cs="Arial"/>
          <w:b/>
          <w:sz w:val="21"/>
          <w:szCs w:val="21"/>
        </w:rPr>
        <w:t xml:space="preserve">? </w:t>
      </w:r>
    </w:p>
    <w:p w14:paraId="096853A6" w14:textId="77777777" w:rsidR="00AA1A92" w:rsidRPr="002E5D50" w:rsidRDefault="00AA1A92" w:rsidP="002E5D50">
      <w:pPr>
        <w:spacing w:after="0" w:line="240" w:lineRule="auto"/>
        <w:jc w:val="both"/>
        <w:rPr>
          <w:rFonts w:asciiTheme="minorHAnsi" w:hAnsiTheme="minorHAnsi" w:cs="Arial"/>
          <w:b/>
          <w:sz w:val="21"/>
          <w:szCs w:val="21"/>
        </w:rPr>
      </w:pPr>
    </w:p>
    <w:p w14:paraId="1F392352" w14:textId="6F3DFEED" w:rsidR="001778C3" w:rsidRDefault="001778C3" w:rsidP="002E5D50">
      <w:pPr>
        <w:spacing w:after="0" w:line="240" w:lineRule="auto"/>
        <w:jc w:val="both"/>
        <w:rPr>
          <w:rFonts w:asciiTheme="minorHAnsi" w:hAnsiTheme="minorHAnsi" w:cs="Arial"/>
          <w:sz w:val="21"/>
          <w:szCs w:val="21"/>
        </w:rPr>
      </w:pPr>
      <w:r>
        <w:rPr>
          <w:rFonts w:asciiTheme="minorHAnsi" w:hAnsiTheme="minorHAnsi" w:cs="Arial"/>
          <w:sz w:val="21"/>
          <w:szCs w:val="21"/>
        </w:rPr>
        <w:t xml:space="preserve">As discussed at </w:t>
      </w:r>
      <w:r>
        <w:rPr>
          <w:rFonts w:asciiTheme="minorHAnsi" w:hAnsiTheme="minorHAnsi" w:cs="Arial"/>
          <w:b/>
          <w:sz w:val="21"/>
          <w:szCs w:val="21"/>
        </w:rPr>
        <w:t>3.17-3.24</w:t>
      </w:r>
      <w:r>
        <w:rPr>
          <w:rFonts w:asciiTheme="minorHAnsi" w:hAnsiTheme="minorHAnsi" w:cs="Arial"/>
          <w:sz w:val="21"/>
          <w:szCs w:val="21"/>
        </w:rPr>
        <w:t xml:space="preserve">, the </w:t>
      </w:r>
      <w:r>
        <w:rPr>
          <w:rFonts w:asciiTheme="minorHAnsi" w:hAnsiTheme="minorHAnsi" w:cs="Arial"/>
          <w:i/>
          <w:sz w:val="21"/>
          <w:szCs w:val="21"/>
        </w:rPr>
        <w:t xml:space="preserve">numerus clausus </w:t>
      </w:r>
      <w:r>
        <w:rPr>
          <w:rFonts w:asciiTheme="minorHAnsi" w:hAnsiTheme="minorHAnsi" w:cs="Arial"/>
          <w:sz w:val="21"/>
          <w:szCs w:val="21"/>
        </w:rPr>
        <w:t xml:space="preserve">principle is an important complement to the distinction between personal rights and property rights. It ensures that A, an owner of property, is not free to decide that the right A gives to B will be a property right and so be capable of binding parties other than A. Even if A and B wish B’s right to be proprietary, it will only be so if its content falls within that of a permitted type of property right. So, in </w:t>
      </w:r>
      <w:r>
        <w:rPr>
          <w:rFonts w:asciiTheme="minorHAnsi" w:hAnsiTheme="minorHAnsi" w:cs="Arial"/>
          <w:i/>
          <w:sz w:val="21"/>
          <w:szCs w:val="21"/>
        </w:rPr>
        <w:t xml:space="preserve">Hill v Tupper </w:t>
      </w:r>
      <w:r>
        <w:rPr>
          <w:rFonts w:asciiTheme="minorHAnsi" w:hAnsiTheme="minorHAnsi" w:cs="Arial"/>
          <w:sz w:val="21"/>
          <w:szCs w:val="21"/>
        </w:rPr>
        <w:t xml:space="preserve">(1863), for example, discussed at </w:t>
      </w:r>
      <w:r>
        <w:rPr>
          <w:rFonts w:asciiTheme="minorHAnsi" w:hAnsiTheme="minorHAnsi" w:cs="Arial"/>
          <w:b/>
          <w:sz w:val="21"/>
          <w:szCs w:val="21"/>
        </w:rPr>
        <w:t xml:space="preserve">3.7 </w:t>
      </w:r>
      <w:r>
        <w:rPr>
          <w:rFonts w:asciiTheme="minorHAnsi" w:hAnsiTheme="minorHAnsi" w:cs="Arial"/>
          <w:sz w:val="21"/>
          <w:szCs w:val="21"/>
        </w:rPr>
        <w:t xml:space="preserve">and </w:t>
      </w:r>
      <w:r>
        <w:rPr>
          <w:rFonts w:asciiTheme="minorHAnsi" w:hAnsiTheme="minorHAnsi" w:cs="Arial"/>
          <w:b/>
          <w:sz w:val="21"/>
          <w:szCs w:val="21"/>
        </w:rPr>
        <w:t>3.21</w:t>
      </w:r>
      <w:r>
        <w:rPr>
          <w:rFonts w:asciiTheme="minorHAnsi" w:hAnsiTheme="minorHAnsi" w:cs="Arial"/>
          <w:sz w:val="21"/>
          <w:szCs w:val="21"/>
        </w:rPr>
        <w:t xml:space="preserve">, even if A and B had intended that B’s exclusive right to put boats on the canal should bind third parties, that alone would not be enough to give B’s right that effect. As evidenced by </w:t>
      </w:r>
      <w:r>
        <w:rPr>
          <w:rFonts w:asciiTheme="minorHAnsi" w:hAnsiTheme="minorHAnsi" w:cs="Arial"/>
          <w:i/>
          <w:sz w:val="21"/>
          <w:szCs w:val="21"/>
        </w:rPr>
        <w:t xml:space="preserve">Rhone v Stephens </w:t>
      </w:r>
      <w:r>
        <w:rPr>
          <w:rFonts w:asciiTheme="minorHAnsi" w:hAnsiTheme="minorHAnsi" w:cs="Arial"/>
          <w:sz w:val="21"/>
          <w:szCs w:val="21"/>
        </w:rPr>
        <w:t xml:space="preserve">(1994), as discussed at </w:t>
      </w:r>
      <w:r>
        <w:rPr>
          <w:rFonts w:asciiTheme="minorHAnsi" w:hAnsiTheme="minorHAnsi" w:cs="Arial"/>
          <w:b/>
          <w:sz w:val="21"/>
          <w:szCs w:val="21"/>
        </w:rPr>
        <w:t>3.21</w:t>
      </w:r>
      <w:r>
        <w:rPr>
          <w:rFonts w:asciiTheme="minorHAnsi" w:hAnsiTheme="minorHAnsi" w:cs="Arial"/>
          <w:sz w:val="21"/>
          <w:szCs w:val="21"/>
        </w:rPr>
        <w:t xml:space="preserve">, there are also controls on the content of equitable interests in land. </w:t>
      </w:r>
    </w:p>
    <w:p w14:paraId="3869CDAC" w14:textId="4E0417D3" w:rsidR="001778C3" w:rsidRDefault="001778C3" w:rsidP="002E5D50">
      <w:pPr>
        <w:spacing w:after="0" w:line="240" w:lineRule="auto"/>
        <w:jc w:val="both"/>
        <w:rPr>
          <w:rFonts w:asciiTheme="minorHAnsi" w:hAnsiTheme="minorHAnsi" w:cs="Arial"/>
          <w:sz w:val="21"/>
          <w:szCs w:val="21"/>
        </w:rPr>
      </w:pPr>
    </w:p>
    <w:p w14:paraId="0E12D96A" w14:textId="1227B89D" w:rsidR="001778C3" w:rsidRPr="001778C3" w:rsidRDefault="001778C3" w:rsidP="002E5D50">
      <w:pPr>
        <w:spacing w:after="0" w:line="240" w:lineRule="auto"/>
        <w:jc w:val="both"/>
        <w:rPr>
          <w:rFonts w:asciiTheme="minorHAnsi" w:hAnsiTheme="minorHAnsi" w:cs="Arial"/>
          <w:sz w:val="21"/>
          <w:szCs w:val="21"/>
        </w:rPr>
      </w:pPr>
      <w:r>
        <w:rPr>
          <w:rFonts w:asciiTheme="minorHAnsi" w:hAnsiTheme="minorHAnsi" w:cs="Arial"/>
          <w:sz w:val="21"/>
          <w:szCs w:val="21"/>
        </w:rPr>
        <w:t xml:space="preserve">The </w:t>
      </w:r>
      <w:r>
        <w:rPr>
          <w:rFonts w:asciiTheme="minorHAnsi" w:hAnsiTheme="minorHAnsi" w:cs="Arial"/>
          <w:i/>
          <w:sz w:val="21"/>
          <w:szCs w:val="21"/>
        </w:rPr>
        <w:t xml:space="preserve">numerus clausus </w:t>
      </w:r>
      <w:r>
        <w:rPr>
          <w:rFonts w:asciiTheme="minorHAnsi" w:hAnsiTheme="minorHAnsi" w:cs="Arial"/>
          <w:sz w:val="21"/>
          <w:szCs w:val="21"/>
        </w:rPr>
        <w:t xml:space="preserve">principle is more commonly identified with civilian systems of law, rather than common law systems such as English law, but its operation in land law is confirmed by s 1 and s 4 of the Law of Property Act 1925 which limit, respectively, the content of legal estates and interests in land and of equitable interests in land: see </w:t>
      </w:r>
      <w:r>
        <w:rPr>
          <w:rFonts w:asciiTheme="minorHAnsi" w:hAnsiTheme="minorHAnsi" w:cs="Arial"/>
          <w:b/>
          <w:sz w:val="21"/>
          <w:szCs w:val="21"/>
        </w:rPr>
        <w:t>3.19</w:t>
      </w:r>
      <w:r>
        <w:rPr>
          <w:rFonts w:asciiTheme="minorHAnsi" w:hAnsiTheme="minorHAnsi" w:cs="Arial"/>
          <w:sz w:val="21"/>
          <w:szCs w:val="21"/>
        </w:rPr>
        <w:t>.</w:t>
      </w:r>
    </w:p>
    <w:p w14:paraId="559F7C87" w14:textId="77777777" w:rsidR="004B53C6" w:rsidRDefault="004B53C6" w:rsidP="001778C3">
      <w:pPr>
        <w:spacing w:after="0" w:line="240" w:lineRule="auto"/>
        <w:jc w:val="both"/>
        <w:rPr>
          <w:rFonts w:asciiTheme="minorHAnsi" w:hAnsiTheme="minorHAnsi" w:cs="Arial"/>
          <w:b/>
          <w:sz w:val="21"/>
          <w:szCs w:val="21"/>
        </w:rPr>
      </w:pPr>
    </w:p>
    <w:p w14:paraId="5701F20B" w14:textId="2E6296E3" w:rsidR="00FA3284" w:rsidRPr="002E5D50" w:rsidRDefault="004B53C6" w:rsidP="001778C3">
      <w:pPr>
        <w:spacing w:after="0" w:line="240" w:lineRule="auto"/>
        <w:jc w:val="both"/>
        <w:rPr>
          <w:rFonts w:asciiTheme="minorHAnsi" w:hAnsiTheme="minorHAnsi" w:cs="Arial"/>
          <w:sz w:val="21"/>
          <w:szCs w:val="21"/>
        </w:rPr>
      </w:pPr>
      <w:r w:rsidRPr="002E5D50">
        <w:rPr>
          <w:rFonts w:asciiTheme="minorHAnsi" w:hAnsiTheme="minorHAnsi" w:cs="Arial"/>
          <w:b/>
          <w:sz w:val="21"/>
          <w:szCs w:val="21"/>
        </w:rPr>
        <w:t xml:space="preserve">Question </w:t>
      </w:r>
      <w:r>
        <w:rPr>
          <w:rFonts w:asciiTheme="minorHAnsi" w:hAnsiTheme="minorHAnsi" w:cs="Arial"/>
          <w:b/>
          <w:sz w:val="21"/>
          <w:szCs w:val="21"/>
        </w:rPr>
        <w:t>3</w:t>
      </w:r>
      <w:r w:rsidRPr="002E5D50">
        <w:rPr>
          <w:rFonts w:asciiTheme="minorHAnsi" w:hAnsiTheme="minorHAnsi" w:cs="Arial"/>
          <w:b/>
          <w:sz w:val="21"/>
          <w:szCs w:val="21"/>
        </w:rPr>
        <w:t xml:space="preserve">: </w:t>
      </w:r>
      <w:r>
        <w:rPr>
          <w:rFonts w:asciiTheme="minorHAnsi" w:hAnsiTheme="minorHAnsi" w:cs="Arial"/>
          <w:b/>
          <w:sz w:val="21"/>
          <w:szCs w:val="21"/>
        </w:rPr>
        <w:t>Why might a party prefer to have a legal property right rather than an equitable property right?</w:t>
      </w:r>
    </w:p>
    <w:p w14:paraId="00AF7202" w14:textId="77777777" w:rsidR="00823CFC" w:rsidRPr="002E5D50" w:rsidRDefault="00823CFC" w:rsidP="002E5D50">
      <w:pPr>
        <w:spacing w:after="0" w:line="240" w:lineRule="auto"/>
        <w:jc w:val="both"/>
        <w:rPr>
          <w:rFonts w:asciiTheme="minorHAnsi" w:hAnsiTheme="minorHAnsi" w:cs="Arial"/>
          <w:sz w:val="21"/>
          <w:szCs w:val="21"/>
        </w:rPr>
      </w:pPr>
    </w:p>
    <w:p w14:paraId="7956B9FA" w14:textId="72AB773F" w:rsidR="00FA3284" w:rsidRDefault="004B53C6" w:rsidP="002E5D50">
      <w:pPr>
        <w:spacing w:after="0" w:line="240" w:lineRule="auto"/>
        <w:jc w:val="both"/>
        <w:rPr>
          <w:rFonts w:asciiTheme="minorHAnsi" w:hAnsiTheme="minorHAnsi" w:cs="Arial"/>
          <w:sz w:val="21"/>
          <w:szCs w:val="21"/>
        </w:rPr>
      </w:pPr>
      <w:r>
        <w:rPr>
          <w:rFonts w:asciiTheme="minorHAnsi" w:hAnsiTheme="minorHAnsi" w:cs="Arial"/>
          <w:sz w:val="21"/>
          <w:szCs w:val="21"/>
        </w:rPr>
        <w:t xml:space="preserve">The most obvious reason relates to the defences question (see </w:t>
      </w:r>
      <w:r>
        <w:rPr>
          <w:rFonts w:asciiTheme="minorHAnsi" w:hAnsiTheme="minorHAnsi" w:cs="Arial"/>
          <w:b/>
          <w:sz w:val="21"/>
          <w:szCs w:val="21"/>
        </w:rPr>
        <w:t>3.38</w:t>
      </w:r>
      <w:r>
        <w:rPr>
          <w:rFonts w:asciiTheme="minorHAnsi" w:hAnsiTheme="minorHAnsi" w:cs="Arial"/>
          <w:sz w:val="21"/>
          <w:szCs w:val="21"/>
        </w:rPr>
        <w:t>). In relation to property other than land, such as a bike, there is a general, practically important defence to which an equitable property right is vulnerable, but which cannot usually be used against a legal property right: the</w:t>
      </w:r>
      <w:r w:rsidR="00310BC5">
        <w:rPr>
          <w:rFonts w:asciiTheme="minorHAnsi" w:hAnsiTheme="minorHAnsi" w:cs="Arial"/>
          <w:sz w:val="21"/>
          <w:szCs w:val="21"/>
        </w:rPr>
        <w:t xml:space="preserve"> defence of</w:t>
      </w:r>
      <w:r>
        <w:rPr>
          <w:rFonts w:asciiTheme="minorHAnsi" w:hAnsiTheme="minorHAnsi" w:cs="Arial"/>
          <w:sz w:val="21"/>
          <w:szCs w:val="21"/>
        </w:rPr>
        <w:t xml:space="preserve"> bona fide purchaser (of a legal interest for value) </w:t>
      </w:r>
      <w:r w:rsidR="00310BC5">
        <w:rPr>
          <w:rFonts w:asciiTheme="minorHAnsi" w:hAnsiTheme="minorHAnsi" w:cs="Arial"/>
          <w:sz w:val="21"/>
          <w:szCs w:val="21"/>
        </w:rPr>
        <w:t xml:space="preserve"> without notice (of B’s equitable interest)</w:t>
      </w:r>
      <w:r>
        <w:rPr>
          <w:rFonts w:asciiTheme="minorHAnsi" w:hAnsiTheme="minorHAnsi" w:cs="Arial"/>
          <w:sz w:val="21"/>
          <w:szCs w:val="21"/>
        </w:rPr>
        <w:t>.</w:t>
      </w:r>
      <w:r w:rsidR="00A94811">
        <w:rPr>
          <w:rFonts w:asciiTheme="minorHAnsi" w:hAnsiTheme="minorHAnsi" w:cs="Arial"/>
          <w:sz w:val="21"/>
          <w:szCs w:val="21"/>
        </w:rPr>
        <w:t xml:space="preserve"> That defence no longer applies in relation to registered land (and only rarely applies in unregistered land). In land law, however, it is still easier for C to establish a defence against a pre-existing equitable interest of B than against a pre-existing legal estate or interest of B (see </w:t>
      </w:r>
      <w:r w:rsidR="00A94811">
        <w:rPr>
          <w:rFonts w:asciiTheme="minorHAnsi" w:hAnsiTheme="minorHAnsi" w:cs="Arial"/>
          <w:b/>
          <w:sz w:val="21"/>
          <w:szCs w:val="21"/>
        </w:rPr>
        <w:t>3.39-3.40</w:t>
      </w:r>
      <w:r w:rsidR="00A94811">
        <w:rPr>
          <w:rFonts w:asciiTheme="minorHAnsi" w:hAnsiTheme="minorHAnsi" w:cs="Arial"/>
          <w:sz w:val="21"/>
          <w:szCs w:val="21"/>
        </w:rPr>
        <w:t xml:space="preserve">). For example, a legal lease or legal easement will almost always count as an overriding interest (and so be immune from the lack of registration defence: see </w:t>
      </w:r>
      <w:r w:rsidR="00A94811">
        <w:rPr>
          <w:rFonts w:asciiTheme="minorHAnsi" w:hAnsiTheme="minorHAnsi" w:cs="Arial"/>
          <w:b/>
          <w:sz w:val="21"/>
          <w:szCs w:val="21"/>
        </w:rPr>
        <w:t>11.</w:t>
      </w:r>
      <w:r w:rsidR="00395582">
        <w:rPr>
          <w:rFonts w:asciiTheme="minorHAnsi" w:hAnsiTheme="minorHAnsi" w:cs="Arial"/>
          <w:b/>
          <w:sz w:val="21"/>
          <w:szCs w:val="21"/>
        </w:rPr>
        <w:t>60-11.62</w:t>
      </w:r>
      <w:r w:rsidR="00A94811">
        <w:rPr>
          <w:rFonts w:asciiTheme="minorHAnsi" w:hAnsiTheme="minorHAnsi" w:cs="Arial"/>
          <w:sz w:val="21"/>
          <w:szCs w:val="21"/>
        </w:rPr>
        <w:t xml:space="preserve">), whereas B’s equitable lease or equitable easement can count as an overriding interest only if B is in actual occupation of the land at the relevant time (see </w:t>
      </w:r>
      <w:r w:rsidR="00A94811">
        <w:rPr>
          <w:rFonts w:asciiTheme="minorHAnsi" w:hAnsiTheme="minorHAnsi" w:cs="Arial"/>
          <w:b/>
          <w:sz w:val="21"/>
          <w:szCs w:val="21"/>
        </w:rPr>
        <w:t>11.</w:t>
      </w:r>
      <w:r w:rsidR="00395582">
        <w:rPr>
          <w:rFonts w:asciiTheme="minorHAnsi" w:hAnsiTheme="minorHAnsi" w:cs="Arial"/>
          <w:b/>
          <w:sz w:val="21"/>
          <w:szCs w:val="21"/>
        </w:rPr>
        <w:t>34-11.59</w:t>
      </w:r>
      <w:r w:rsidR="00A94811">
        <w:rPr>
          <w:rFonts w:asciiTheme="minorHAnsi" w:hAnsiTheme="minorHAnsi" w:cs="Arial"/>
          <w:sz w:val="21"/>
          <w:szCs w:val="21"/>
        </w:rPr>
        <w:t xml:space="preserve">). </w:t>
      </w:r>
    </w:p>
    <w:p w14:paraId="5FB3F830" w14:textId="164529A6" w:rsidR="00A94811" w:rsidRDefault="00A94811" w:rsidP="002E5D50">
      <w:pPr>
        <w:spacing w:after="0" w:line="240" w:lineRule="auto"/>
        <w:jc w:val="both"/>
        <w:rPr>
          <w:rFonts w:asciiTheme="minorHAnsi" w:hAnsiTheme="minorHAnsi" w:cs="Arial"/>
          <w:sz w:val="21"/>
          <w:szCs w:val="21"/>
        </w:rPr>
      </w:pPr>
    </w:p>
    <w:p w14:paraId="765B8178" w14:textId="53561679" w:rsidR="00A94811" w:rsidRDefault="00A94811" w:rsidP="002E5D50">
      <w:pPr>
        <w:spacing w:after="0" w:line="240" w:lineRule="auto"/>
        <w:jc w:val="both"/>
        <w:rPr>
          <w:rFonts w:asciiTheme="minorHAnsi" w:hAnsiTheme="minorHAnsi" w:cs="Arial"/>
          <w:sz w:val="21"/>
          <w:szCs w:val="21"/>
        </w:rPr>
      </w:pPr>
      <w:r>
        <w:rPr>
          <w:rFonts w:asciiTheme="minorHAnsi" w:hAnsiTheme="minorHAnsi" w:cs="Arial"/>
          <w:sz w:val="21"/>
          <w:szCs w:val="21"/>
        </w:rPr>
        <w:t xml:space="preserve">There is a second, less </w:t>
      </w:r>
      <w:r w:rsidR="00310BC5">
        <w:rPr>
          <w:rFonts w:asciiTheme="minorHAnsi" w:hAnsiTheme="minorHAnsi" w:cs="Arial"/>
          <w:sz w:val="21"/>
          <w:szCs w:val="21"/>
        </w:rPr>
        <w:t xml:space="preserve">practically </w:t>
      </w:r>
      <w:r>
        <w:rPr>
          <w:rFonts w:asciiTheme="minorHAnsi" w:hAnsiTheme="minorHAnsi" w:cs="Arial"/>
          <w:sz w:val="21"/>
          <w:szCs w:val="21"/>
        </w:rPr>
        <w:t>important reason why B might prefer to have a legal rather than an equitable property right (</w:t>
      </w:r>
      <w:r>
        <w:rPr>
          <w:rFonts w:asciiTheme="minorHAnsi" w:hAnsiTheme="minorHAnsi" w:cs="Arial"/>
          <w:b/>
          <w:sz w:val="21"/>
          <w:szCs w:val="21"/>
        </w:rPr>
        <w:t>3.42-3.46</w:t>
      </w:r>
      <w:r>
        <w:rPr>
          <w:rFonts w:asciiTheme="minorHAnsi" w:hAnsiTheme="minorHAnsi" w:cs="Arial"/>
          <w:sz w:val="21"/>
          <w:szCs w:val="21"/>
        </w:rPr>
        <w:t xml:space="preserve">). This is not to do with defences. It is to do with the different question of whether B’s right is even prima facie binding on X, a third party who interferes with the land without acquiring any right from A. There is a strong argument that an equitable property right, unlike a legal property right, is not binding on X in such a case, although the position is not entirely clear (see </w:t>
      </w:r>
      <w:r>
        <w:rPr>
          <w:rFonts w:asciiTheme="minorHAnsi" w:hAnsiTheme="minorHAnsi" w:cs="Arial"/>
          <w:b/>
          <w:sz w:val="21"/>
          <w:szCs w:val="21"/>
        </w:rPr>
        <w:t>3.45</w:t>
      </w:r>
      <w:r>
        <w:rPr>
          <w:rFonts w:asciiTheme="minorHAnsi" w:hAnsiTheme="minorHAnsi" w:cs="Arial"/>
          <w:sz w:val="21"/>
          <w:szCs w:val="21"/>
        </w:rPr>
        <w:t>).</w:t>
      </w:r>
    </w:p>
    <w:p w14:paraId="7ACE43E0" w14:textId="77777777" w:rsidR="00A94811" w:rsidRPr="00A94811" w:rsidRDefault="00A94811" w:rsidP="002E5D50">
      <w:pPr>
        <w:spacing w:after="0" w:line="240" w:lineRule="auto"/>
        <w:jc w:val="both"/>
        <w:rPr>
          <w:rFonts w:asciiTheme="minorHAnsi" w:hAnsiTheme="minorHAnsi" w:cs="Arial"/>
          <w:sz w:val="21"/>
          <w:szCs w:val="21"/>
        </w:rPr>
      </w:pPr>
      <w:bookmarkStart w:id="0" w:name="_GoBack"/>
      <w:bookmarkEnd w:id="0"/>
    </w:p>
    <w:p w14:paraId="0F29AE59" w14:textId="77777777" w:rsidR="00BC0487" w:rsidRPr="002E5D50" w:rsidRDefault="00BC0487" w:rsidP="002E5D50">
      <w:pPr>
        <w:spacing w:after="0" w:line="240" w:lineRule="auto"/>
        <w:jc w:val="both"/>
        <w:rPr>
          <w:rFonts w:asciiTheme="minorHAnsi" w:hAnsiTheme="minorHAnsi" w:cs="Arial"/>
          <w:b/>
          <w:sz w:val="21"/>
          <w:szCs w:val="21"/>
        </w:rPr>
      </w:pPr>
    </w:p>
    <w:p w14:paraId="4D124FFE" w14:textId="07754436" w:rsidR="00FA3284" w:rsidRPr="002E5D50" w:rsidRDefault="00FA3284" w:rsidP="002E5D50">
      <w:pPr>
        <w:spacing w:after="0" w:line="240" w:lineRule="auto"/>
        <w:jc w:val="both"/>
        <w:rPr>
          <w:rFonts w:asciiTheme="minorHAnsi" w:hAnsiTheme="minorHAnsi" w:cs="Arial"/>
          <w:b/>
          <w:sz w:val="21"/>
          <w:szCs w:val="21"/>
        </w:rPr>
      </w:pPr>
      <w:r w:rsidRPr="002E5D50">
        <w:rPr>
          <w:rFonts w:asciiTheme="minorHAnsi" w:hAnsiTheme="minorHAnsi" w:cs="Arial"/>
          <w:b/>
          <w:sz w:val="21"/>
          <w:szCs w:val="21"/>
        </w:rPr>
        <w:t xml:space="preserve">Question </w:t>
      </w:r>
      <w:r w:rsidR="00A94811">
        <w:rPr>
          <w:rFonts w:asciiTheme="minorHAnsi" w:hAnsiTheme="minorHAnsi" w:cs="Arial"/>
          <w:b/>
          <w:sz w:val="21"/>
          <w:szCs w:val="21"/>
        </w:rPr>
        <w:t>4</w:t>
      </w:r>
      <w:r w:rsidRPr="002E5D50">
        <w:rPr>
          <w:rFonts w:asciiTheme="minorHAnsi" w:hAnsiTheme="minorHAnsi" w:cs="Arial"/>
          <w:b/>
          <w:sz w:val="21"/>
          <w:szCs w:val="21"/>
        </w:rPr>
        <w:t xml:space="preserve">: </w:t>
      </w:r>
      <w:r w:rsidR="00A94811">
        <w:rPr>
          <w:rFonts w:asciiTheme="minorHAnsi" w:hAnsiTheme="minorHAnsi" w:cs="Arial"/>
          <w:b/>
          <w:sz w:val="21"/>
          <w:szCs w:val="21"/>
        </w:rPr>
        <w:t>If B has only a personal right against A, an owner of land, does that mean that B will never have a good claim against C, a party later buying A’s land?</w:t>
      </w:r>
    </w:p>
    <w:p w14:paraId="52939DF0" w14:textId="77777777" w:rsidR="00FA3284" w:rsidRDefault="00FA3284" w:rsidP="002E5D50">
      <w:pPr>
        <w:spacing w:after="0" w:line="240" w:lineRule="auto"/>
        <w:jc w:val="both"/>
        <w:rPr>
          <w:rFonts w:asciiTheme="minorHAnsi" w:hAnsiTheme="minorHAnsi" w:cs="Arial"/>
          <w:b/>
          <w:sz w:val="21"/>
          <w:szCs w:val="21"/>
        </w:rPr>
      </w:pPr>
    </w:p>
    <w:p w14:paraId="44FC6766" w14:textId="388E50A9" w:rsidR="00AA1A92" w:rsidRPr="00395582" w:rsidRDefault="00A94811" w:rsidP="00AA1A92">
      <w:pPr>
        <w:spacing w:after="0" w:line="240" w:lineRule="auto"/>
        <w:jc w:val="both"/>
        <w:rPr>
          <w:rFonts w:asciiTheme="minorHAnsi" w:hAnsiTheme="minorHAnsi" w:cs="Arial"/>
          <w:sz w:val="21"/>
          <w:szCs w:val="21"/>
        </w:rPr>
      </w:pPr>
      <w:r>
        <w:rPr>
          <w:rFonts w:asciiTheme="minorHAnsi" w:hAnsiTheme="minorHAnsi" w:cs="Arial"/>
          <w:sz w:val="21"/>
          <w:szCs w:val="21"/>
        </w:rPr>
        <w:t xml:space="preserve">No! B’s personal right </w:t>
      </w:r>
      <w:r>
        <w:rPr>
          <w:rFonts w:asciiTheme="minorHAnsi" w:hAnsiTheme="minorHAnsi" w:cs="Arial"/>
          <w:i/>
          <w:sz w:val="21"/>
          <w:szCs w:val="21"/>
        </w:rPr>
        <w:t xml:space="preserve">itself </w:t>
      </w:r>
      <w:r>
        <w:rPr>
          <w:rFonts w:asciiTheme="minorHAnsi" w:hAnsiTheme="minorHAnsi" w:cs="Arial"/>
          <w:sz w:val="21"/>
          <w:szCs w:val="21"/>
        </w:rPr>
        <w:t xml:space="preserve">cannot bind C, as it is by definition a right specifically against A. However, it is possible for B to have a </w:t>
      </w:r>
      <w:r>
        <w:rPr>
          <w:rFonts w:asciiTheme="minorHAnsi" w:hAnsiTheme="minorHAnsi" w:cs="Arial"/>
          <w:i/>
          <w:sz w:val="21"/>
          <w:szCs w:val="21"/>
        </w:rPr>
        <w:t xml:space="preserve">new, direct </w:t>
      </w:r>
      <w:r>
        <w:rPr>
          <w:rFonts w:asciiTheme="minorHAnsi" w:hAnsiTheme="minorHAnsi" w:cs="Arial"/>
          <w:sz w:val="21"/>
          <w:szCs w:val="21"/>
        </w:rPr>
        <w:t xml:space="preserve">right against C (see </w:t>
      </w:r>
      <w:r>
        <w:rPr>
          <w:rFonts w:asciiTheme="minorHAnsi" w:hAnsiTheme="minorHAnsi" w:cs="Arial"/>
          <w:b/>
          <w:sz w:val="21"/>
          <w:szCs w:val="21"/>
        </w:rPr>
        <w:t>3.83-3.86</w:t>
      </w:r>
      <w:r>
        <w:rPr>
          <w:rFonts w:asciiTheme="minorHAnsi" w:hAnsiTheme="minorHAnsi" w:cs="Arial"/>
          <w:sz w:val="21"/>
          <w:szCs w:val="21"/>
        </w:rPr>
        <w:t xml:space="preserve">). In some cases, this right might be entirely distinct from B’s personal right against A. This might occur, for example, if C, when buying the land, enters into a contract with B to allow B to continue using A’s land, or grants B a legal lease of the land. </w:t>
      </w:r>
      <w:r w:rsidR="00395582">
        <w:rPr>
          <w:rFonts w:asciiTheme="minorHAnsi" w:hAnsiTheme="minorHAnsi" w:cs="Arial"/>
          <w:sz w:val="21"/>
          <w:szCs w:val="21"/>
        </w:rPr>
        <w:t xml:space="preserve">The best interpretation of </w:t>
      </w:r>
      <w:r w:rsidR="00395582">
        <w:rPr>
          <w:rFonts w:asciiTheme="minorHAnsi" w:hAnsiTheme="minorHAnsi" w:cs="Arial"/>
          <w:i/>
          <w:sz w:val="21"/>
          <w:szCs w:val="21"/>
        </w:rPr>
        <w:t xml:space="preserve">Binions v Evans </w:t>
      </w:r>
      <w:r w:rsidR="00395582">
        <w:rPr>
          <w:rFonts w:asciiTheme="minorHAnsi" w:hAnsiTheme="minorHAnsi" w:cs="Arial"/>
          <w:sz w:val="21"/>
          <w:szCs w:val="21"/>
        </w:rPr>
        <w:t>(1972</w:t>
      </w:r>
      <w:r w:rsidR="00310BC5">
        <w:rPr>
          <w:rFonts w:asciiTheme="minorHAnsi" w:hAnsiTheme="minorHAnsi" w:cs="Arial"/>
          <w:sz w:val="21"/>
          <w:szCs w:val="21"/>
        </w:rPr>
        <w:t xml:space="preserve"> (see </w:t>
      </w:r>
      <w:r w:rsidR="00310BC5">
        <w:rPr>
          <w:rFonts w:asciiTheme="minorHAnsi" w:hAnsiTheme="minorHAnsi" w:cs="Arial"/>
          <w:b/>
          <w:sz w:val="21"/>
          <w:szCs w:val="21"/>
        </w:rPr>
        <w:t>3.85</w:t>
      </w:r>
      <w:r w:rsidR="00395582">
        <w:rPr>
          <w:rFonts w:asciiTheme="minorHAnsi" w:hAnsiTheme="minorHAnsi" w:cs="Arial"/>
          <w:sz w:val="21"/>
          <w:szCs w:val="21"/>
        </w:rPr>
        <w:t xml:space="preserve">), for example, is that B’s licence </w:t>
      </w:r>
      <w:r w:rsidR="00310BC5">
        <w:rPr>
          <w:rFonts w:asciiTheme="minorHAnsi" w:hAnsiTheme="minorHAnsi" w:cs="Arial"/>
          <w:sz w:val="21"/>
          <w:szCs w:val="21"/>
        </w:rPr>
        <w:t xml:space="preserve">from A </w:t>
      </w:r>
      <w:r w:rsidR="00395582">
        <w:rPr>
          <w:rFonts w:asciiTheme="minorHAnsi" w:hAnsiTheme="minorHAnsi" w:cs="Arial"/>
          <w:sz w:val="21"/>
          <w:szCs w:val="21"/>
        </w:rPr>
        <w:t xml:space="preserve">did not bind C, but B instead had a new, direct right against C, arising as a result of C’s promise to allow B to continue in occupation of the land. </w:t>
      </w:r>
      <w:r>
        <w:rPr>
          <w:rFonts w:asciiTheme="minorHAnsi" w:hAnsiTheme="minorHAnsi" w:cs="Arial"/>
          <w:sz w:val="21"/>
          <w:szCs w:val="21"/>
        </w:rPr>
        <w:t xml:space="preserve">In other cases, the </w:t>
      </w:r>
      <w:r w:rsidR="00310BC5">
        <w:rPr>
          <w:rFonts w:asciiTheme="minorHAnsi" w:hAnsiTheme="minorHAnsi" w:cs="Arial"/>
          <w:sz w:val="21"/>
          <w:szCs w:val="21"/>
        </w:rPr>
        <w:t>direct</w:t>
      </w:r>
      <w:r>
        <w:rPr>
          <w:rFonts w:asciiTheme="minorHAnsi" w:hAnsiTheme="minorHAnsi" w:cs="Arial"/>
          <w:sz w:val="21"/>
          <w:szCs w:val="21"/>
        </w:rPr>
        <w:t xml:space="preserve"> right </w:t>
      </w:r>
      <w:r w:rsidR="00310BC5">
        <w:rPr>
          <w:rFonts w:asciiTheme="minorHAnsi" w:hAnsiTheme="minorHAnsi" w:cs="Arial"/>
          <w:sz w:val="21"/>
          <w:szCs w:val="21"/>
        </w:rPr>
        <w:t xml:space="preserve">against C </w:t>
      </w:r>
      <w:r>
        <w:rPr>
          <w:rFonts w:asciiTheme="minorHAnsi" w:hAnsiTheme="minorHAnsi" w:cs="Arial"/>
          <w:sz w:val="21"/>
          <w:szCs w:val="21"/>
        </w:rPr>
        <w:t>may have some link to B’s personal right</w:t>
      </w:r>
      <w:r w:rsidR="00AA1A92">
        <w:rPr>
          <w:rFonts w:asciiTheme="minorHAnsi" w:hAnsiTheme="minorHAnsi" w:cs="Arial"/>
          <w:sz w:val="21"/>
          <w:szCs w:val="21"/>
        </w:rPr>
        <w:t xml:space="preserve"> </w:t>
      </w:r>
      <w:r>
        <w:rPr>
          <w:rFonts w:asciiTheme="minorHAnsi" w:hAnsiTheme="minorHAnsi" w:cs="Arial"/>
          <w:sz w:val="21"/>
          <w:szCs w:val="21"/>
        </w:rPr>
        <w:t>against A. For example, if B’s personal right against A arises under a contract with A, the rest of the world will be under a duty to B not to procure a breach by A of A’s contract with B</w:t>
      </w:r>
      <w:r w:rsidR="00310BC5">
        <w:rPr>
          <w:rFonts w:asciiTheme="minorHAnsi" w:hAnsiTheme="minorHAnsi" w:cs="Arial"/>
          <w:sz w:val="21"/>
          <w:szCs w:val="21"/>
        </w:rPr>
        <w:t xml:space="preserve"> (see </w:t>
      </w:r>
      <w:r w:rsidR="00310BC5">
        <w:rPr>
          <w:rFonts w:asciiTheme="minorHAnsi" w:hAnsiTheme="minorHAnsi" w:cs="Arial"/>
          <w:b/>
          <w:sz w:val="21"/>
          <w:szCs w:val="21"/>
        </w:rPr>
        <w:t>3.10</w:t>
      </w:r>
      <w:r w:rsidR="00310BC5">
        <w:rPr>
          <w:rFonts w:asciiTheme="minorHAnsi" w:hAnsiTheme="minorHAnsi" w:cs="Arial"/>
          <w:sz w:val="21"/>
          <w:szCs w:val="21"/>
        </w:rPr>
        <w:t>)</w:t>
      </w:r>
      <w:r>
        <w:rPr>
          <w:rFonts w:asciiTheme="minorHAnsi" w:hAnsiTheme="minorHAnsi" w:cs="Arial"/>
          <w:sz w:val="21"/>
          <w:szCs w:val="21"/>
        </w:rPr>
        <w:t>.</w:t>
      </w:r>
    </w:p>
    <w:p w14:paraId="22177F6F" w14:textId="77777777" w:rsidR="00AA1A92" w:rsidRPr="002E5D50" w:rsidRDefault="00AA1A92" w:rsidP="002E5D50">
      <w:pPr>
        <w:spacing w:after="0" w:line="240" w:lineRule="auto"/>
        <w:jc w:val="both"/>
        <w:rPr>
          <w:rFonts w:asciiTheme="minorHAnsi" w:hAnsiTheme="minorHAnsi" w:cs="Arial"/>
          <w:b/>
          <w:sz w:val="21"/>
          <w:szCs w:val="21"/>
        </w:rPr>
      </w:pPr>
    </w:p>
    <w:p w14:paraId="1783EB71" w14:textId="55792359" w:rsidR="00FA3284" w:rsidRDefault="00FA3284" w:rsidP="002E5D50">
      <w:pPr>
        <w:spacing w:after="0" w:line="240" w:lineRule="auto"/>
        <w:jc w:val="both"/>
        <w:rPr>
          <w:rFonts w:asciiTheme="minorHAnsi" w:hAnsiTheme="minorHAnsi" w:cs="Arial"/>
          <w:b/>
          <w:sz w:val="21"/>
          <w:szCs w:val="21"/>
        </w:rPr>
      </w:pPr>
      <w:r w:rsidRPr="002E5D50">
        <w:rPr>
          <w:rFonts w:asciiTheme="minorHAnsi" w:hAnsiTheme="minorHAnsi" w:cs="Arial"/>
          <w:b/>
          <w:sz w:val="21"/>
          <w:szCs w:val="21"/>
        </w:rPr>
        <w:t xml:space="preserve">Question </w:t>
      </w:r>
      <w:r w:rsidR="00395582">
        <w:rPr>
          <w:rFonts w:asciiTheme="minorHAnsi" w:hAnsiTheme="minorHAnsi" w:cs="Arial"/>
          <w:b/>
          <w:sz w:val="21"/>
          <w:szCs w:val="21"/>
        </w:rPr>
        <w:t>5</w:t>
      </w:r>
      <w:r w:rsidRPr="002E5D50">
        <w:rPr>
          <w:rFonts w:asciiTheme="minorHAnsi" w:hAnsiTheme="minorHAnsi" w:cs="Arial"/>
          <w:b/>
          <w:sz w:val="21"/>
          <w:szCs w:val="21"/>
        </w:rPr>
        <w:t xml:space="preserve">: </w:t>
      </w:r>
      <w:r w:rsidR="00395582">
        <w:rPr>
          <w:rFonts w:asciiTheme="minorHAnsi" w:hAnsiTheme="minorHAnsi" w:cs="Arial"/>
          <w:b/>
          <w:sz w:val="21"/>
          <w:szCs w:val="21"/>
        </w:rPr>
        <w:t>What is the strongest argument for recognizing a contractual licence as a property right in land? What is the strongest argument against doing so?</w:t>
      </w:r>
    </w:p>
    <w:p w14:paraId="234DF6D5" w14:textId="010319A2" w:rsidR="00395582" w:rsidRDefault="00395582" w:rsidP="002E5D50">
      <w:pPr>
        <w:spacing w:after="0" w:line="240" w:lineRule="auto"/>
        <w:jc w:val="both"/>
        <w:rPr>
          <w:rFonts w:asciiTheme="minorHAnsi" w:hAnsiTheme="minorHAnsi" w:cs="Arial"/>
          <w:sz w:val="21"/>
          <w:szCs w:val="21"/>
        </w:rPr>
      </w:pPr>
    </w:p>
    <w:p w14:paraId="6EFAFD91" w14:textId="0B6A6C3D" w:rsidR="00395582" w:rsidRDefault="00395582" w:rsidP="002E5D50">
      <w:pPr>
        <w:spacing w:after="0" w:line="240" w:lineRule="auto"/>
        <w:jc w:val="both"/>
        <w:rPr>
          <w:rFonts w:asciiTheme="minorHAnsi" w:hAnsiTheme="minorHAnsi" w:cs="Arial"/>
          <w:sz w:val="21"/>
          <w:szCs w:val="21"/>
        </w:rPr>
      </w:pPr>
      <w:r>
        <w:rPr>
          <w:rFonts w:asciiTheme="minorHAnsi" w:hAnsiTheme="minorHAnsi" w:cs="Arial"/>
          <w:sz w:val="21"/>
          <w:szCs w:val="21"/>
        </w:rPr>
        <w:t xml:space="preserve">You should distinguish here between what the law is (ie the result a judge would reach under the current law) and possible future reform of the law, eg by Parliament. Under the current law, there is binding authority (e.g. </w:t>
      </w:r>
      <w:r>
        <w:rPr>
          <w:rFonts w:asciiTheme="minorHAnsi" w:hAnsiTheme="minorHAnsi" w:cs="Arial"/>
          <w:i/>
          <w:sz w:val="21"/>
          <w:szCs w:val="21"/>
        </w:rPr>
        <w:t xml:space="preserve">King v David Allan </w:t>
      </w:r>
      <w:r>
        <w:rPr>
          <w:rFonts w:asciiTheme="minorHAnsi" w:hAnsiTheme="minorHAnsi" w:cs="Arial"/>
          <w:sz w:val="21"/>
          <w:szCs w:val="21"/>
        </w:rPr>
        <w:t>(1916)</w:t>
      </w:r>
      <w:r w:rsidR="00310BC5">
        <w:rPr>
          <w:rFonts w:asciiTheme="minorHAnsi" w:hAnsiTheme="minorHAnsi" w:cs="Arial"/>
          <w:sz w:val="21"/>
          <w:szCs w:val="21"/>
        </w:rPr>
        <w:t xml:space="preserve"> (see </w:t>
      </w:r>
      <w:r w:rsidR="00310BC5">
        <w:rPr>
          <w:rFonts w:asciiTheme="minorHAnsi" w:hAnsiTheme="minorHAnsi" w:cs="Arial"/>
          <w:b/>
          <w:sz w:val="21"/>
          <w:szCs w:val="21"/>
        </w:rPr>
        <w:t>3.78</w:t>
      </w:r>
      <w:r w:rsidR="00310BC5">
        <w:rPr>
          <w:rFonts w:asciiTheme="minorHAnsi" w:hAnsiTheme="minorHAnsi" w:cs="Arial"/>
          <w:sz w:val="21"/>
          <w:szCs w:val="21"/>
        </w:rPr>
        <w:t>)</w:t>
      </w:r>
      <w:r>
        <w:rPr>
          <w:rFonts w:asciiTheme="minorHAnsi" w:hAnsiTheme="minorHAnsi" w:cs="Arial"/>
          <w:sz w:val="21"/>
          <w:szCs w:val="21"/>
        </w:rPr>
        <w:t xml:space="preserve">) that a contractual licence is not a property right in land and s 4(1) of the Law of Property Act 1925, giving effect to the </w:t>
      </w:r>
      <w:r w:rsidRPr="00395582">
        <w:rPr>
          <w:rFonts w:asciiTheme="minorHAnsi" w:hAnsiTheme="minorHAnsi" w:cs="Arial"/>
          <w:i/>
          <w:sz w:val="21"/>
          <w:szCs w:val="21"/>
        </w:rPr>
        <w:t>numerus clausus</w:t>
      </w:r>
      <w:r>
        <w:rPr>
          <w:rFonts w:asciiTheme="minorHAnsi" w:hAnsiTheme="minorHAnsi" w:cs="Arial"/>
          <w:sz w:val="21"/>
          <w:szCs w:val="21"/>
        </w:rPr>
        <w:t xml:space="preserve"> principle, prohibits a court from recognizing new forms of equitable interests in land</w:t>
      </w:r>
      <w:r w:rsidR="00310BC5">
        <w:rPr>
          <w:rFonts w:asciiTheme="minorHAnsi" w:hAnsiTheme="minorHAnsi" w:cs="Arial"/>
          <w:sz w:val="21"/>
          <w:szCs w:val="21"/>
        </w:rPr>
        <w:t xml:space="preserve"> (see </w:t>
      </w:r>
      <w:r w:rsidR="00310BC5">
        <w:rPr>
          <w:rFonts w:asciiTheme="minorHAnsi" w:hAnsiTheme="minorHAnsi" w:cs="Arial"/>
          <w:b/>
          <w:sz w:val="21"/>
          <w:szCs w:val="21"/>
        </w:rPr>
        <w:t>3.19</w:t>
      </w:r>
      <w:r w:rsidR="00310BC5">
        <w:rPr>
          <w:rFonts w:asciiTheme="minorHAnsi" w:hAnsiTheme="minorHAnsi" w:cs="Arial"/>
          <w:sz w:val="21"/>
          <w:szCs w:val="21"/>
        </w:rPr>
        <w:t>)</w:t>
      </w:r>
      <w:r>
        <w:rPr>
          <w:rFonts w:asciiTheme="minorHAnsi" w:hAnsiTheme="minorHAnsi" w:cs="Arial"/>
          <w:sz w:val="21"/>
          <w:szCs w:val="21"/>
        </w:rPr>
        <w:t xml:space="preserve">. </w:t>
      </w:r>
    </w:p>
    <w:p w14:paraId="4095A911" w14:textId="4883D847" w:rsidR="00395582" w:rsidRDefault="00395582" w:rsidP="002E5D50">
      <w:pPr>
        <w:spacing w:after="0" w:line="240" w:lineRule="auto"/>
        <w:jc w:val="both"/>
        <w:rPr>
          <w:rFonts w:asciiTheme="minorHAnsi" w:hAnsiTheme="minorHAnsi" w:cs="Arial"/>
          <w:sz w:val="21"/>
          <w:szCs w:val="21"/>
        </w:rPr>
      </w:pPr>
    </w:p>
    <w:p w14:paraId="050CF33D" w14:textId="260B430B" w:rsidR="00395582" w:rsidRPr="00395582" w:rsidRDefault="00395582" w:rsidP="002E5D50">
      <w:pPr>
        <w:spacing w:after="0" w:line="240" w:lineRule="auto"/>
        <w:jc w:val="both"/>
        <w:rPr>
          <w:rFonts w:asciiTheme="minorHAnsi" w:hAnsiTheme="minorHAnsi" w:cs="Arial"/>
          <w:sz w:val="21"/>
          <w:szCs w:val="21"/>
        </w:rPr>
      </w:pPr>
      <w:r>
        <w:rPr>
          <w:rFonts w:asciiTheme="minorHAnsi" w:hAnsiTheme="minorHAnsi" w:cs="Arial"/>
          <w:sz w:val="21"/>
          <w:szCs w:val="21"/>
        </w:rPr>
        <w:t xml:space="preserve">If the question is as to reform of the law, however, then all arguments are possible. As noted at </w:t>
      </w:r>
      <w:r>
        <w:rPr>
          <w:rFonts w:asciiTheme="minorHAnsi" w:hAnsiTheme="minorHAnsi" w:cs="Arial"/>
          <w:b/>
          <w:sz w:val="21"/>
          <w:szCs w:val="21"/>
        </w:rPr>
        <w:t>3.90</w:t>
      </w:r>
      <w:r>
        <w:rPr>
          <w:rFonts w:asciiTheme="minorHAnsi" w:hAnsiTheme="minorHAnsi" w:cs="Arial"/>
          <w:sz w:val="21"/>
          <w:szCs w:val="21"/>
        </w:rPr>
        <w:t xml:space="preserve">, the strongest argument would probably relate to specific types of contractual licence: those that allow B to occupy land as B’s home. Here, B’s interest in having the security of being able to assert his or her right not only against A, but also against future owners of A’s land (or third parties interfering with the land) is at its strongest. The strongest argument against changing the law might simply be the uncertainty caused by any change in the law, but another important point is that, since the decision of the House of Lords in </w:t>
      </w:r>
      <w:r>
        <w:rPr>
          <w:rFonts w:asciiTheme="minorHAnsi" w:hAnsiTheme="minorHAnsi" w:cs="Arial"/>
          <w:i/>
          <w:sz w:val="21"/>
          <w:szCs w:val="21"/>
        </w:rPr>
        <w:t xml:space="preserve">Street v Mountford </w:t>
      </w:r>
      <w:r>
        <w:rPr>
          <w:rFonts w:asciiTheme="minorHAnsi" w:hAnsiTheme="minorHAnsi" w:cs="Arial"/>
          <w:sz w:val="21"/>
          <w:szCs w:val="21"/>
        </w:rPr>
        <w:t xml:space="preserve">(1985) (see </w:t>
      </w:r>
      <w:r>
        <w:rPr>
          <w:rFonts w:asciiTheme="minorHAnsi" w:hAnsiTheme="minorHAnsi" w:cs="Arial"/>
          <w:b/>
          <w:sz w:val="21"/>
          <w:szCs w:val="21"/>
        </w:rPr>
        <w:t>7.</w:t>
      </w:r>
      <w:r w:rsidR="005A0009">
        <w:rPr>
          <w:rFonts w:asciiTheme="minorHAnsi" w:hAnsiTheme="minorHAnsi" w:cs="Arial"/>
          <w:b/>
          <w:sz w:val="21"/>
          <w:szCs w:val="21"/>
        </w:rPr>
        <w:t>9</w:t>
      </w:r>
      <w:r>
        <w:rPr>
          <w:rFonts w:asciiTheme="minorHAnsi" w:hAnsiTheme="minorHAnsi" w:cs="Arial"/>
          <w:sz w:val="21"/>
          <w:szCs w:val="21"/>
        </w:rPr>
        <w:t xml:space="preserve">), in many cases where B’s contract with A allows B a right to exclusive possession of land, B will have a lease, and so will in any case have a recognized property right. It is significant that cases such as </w:t>
      </w:r>
      <w:r>
        <w:rPr>
          <w:rFonts w:asciiTheme="minorHAnsi" w:hAnsiTheme="minorHAnsi" w:cs="Arial"/>
          <w:i/>
          <w:sz w:val="21"/>
          <w:szCs w:val="21"/>
        </w:rPr>
        <w:t xml:space="preserve">Errington v Errington </w:t>
      </w:r>
      <w:r>
        <w:rPr>
          <w:rFonts w:asciiTheme="minorHAnsi" w:hAnsiTheme="minorHAnsi" w:cs="Arial"/>
          <w:sz w:val="21"/>
          <w:szCs w:val="21"/>
        </w:rPr>
        <w:t xml:space="preserve">(1952) (see </w:t>
      </w:r>
      <w:r>
        <w:rPr>
          <w:rFonts w:asciiTheme="minorHAnsi" w:hAnsiTheme="minorHAnsi" w:cs="Arial"/>
          <w:b/>
          <w:sz w:val="21"/>
          <w:szCs w:val="21"/>
        </w:rPr>
        <w:t>3.80</w:t>
      </w:r>
      <w:r>
        <w:rPr>
          <w:rFonts w:asciiTheme="minorHAnsi" w:hAnsiTheme="minorHAnsi" w:cs="Arial"/>
          <w:sz w:val="21"/>
          <w:szCs w:val="21"/>
        </w:rPr>
        <w:t>)</w:t>
      </w:r>
      <w:r>
        <w:rPr>
          <w:rFonts w:asciiTheme="minorHAnsi" w:hAnsiTheme="minorHAnsi" w:cs="Arial"/>
          <w:b/>
          <w:sz w:val="21"/>
          <w:szCs w:val="21"/>
        </w:rPr>
        <w:t xml:space="preserve"> </w:t>
      </w:r>
      <w:r>
        <w:rPr>
          <w:rFonts w:asciiTheme="minorHAnsi" w:hAnsiTheme="minorHAnsi" w:cs="Arial"/>
          <w:sz w:val="21"/>
          <w:szCs w:val="21"/>
        </w:rPr>
        <w:t xml:space="preserve">and </w:t>
      </w:r>
      <w:r>
        <w:rPr>
          <w:rFonts w:asciiTheme="minorHAnsi" w:hAnsiTheme="minorHAnsi" w:cs="Arial"/>
          <w:i/>
          <w:sz w:val="21"/>
          <w:szCs w:val="21"/>
        </w:rPr>
        <w:t xml:space="preserve">DHN Food Distributors Ltd v London Borough of Tower Hamlets </w:t>
      </w:r>
      <w:r>
        <w:rPr>
          <w:rFonts w:asciiTheme="minorHAnsi" w:hAnsiTheme="minorHAnsi" w:cs="Arial"/>
          <w:sz w:val="21"/>
          <w:szCs w:val="21"/>
        </w:rPr>
        <w:t xml:space="preserve">(1976) (see </w:t>
      </w:r>
      <w:r>
        <w:rPr>
          <w:rFonts w:asciiTheme="minorHAnsi" w:hAnsiTheme="minorHAnsi" w:cs="Arial"/>
          <w:b/>
          <w:sz w:val="21"/>
          <w:szCs w:val="21"/>
        </w:rPr>
        <w:t>3.81</w:t>
      </w:r>
      <w:r>
        <w:rPr>
          <w:rFonts w:asciiTheme="minorHAnsi" w:hAnsiTheme="minorHAnsi" w:cs="Arial"/>
          <w:sz w:val="21"/>
          <w:szCs w:val="21"/>
        </w:rPr>
        <w:t xml:space="preserve">) were decided by the Court of Appeal at a time when </w:t>
      </w:r>
      <w:r w:rsidR="00310BC5">
        <w:rPr>
          <w:rFonts w:asciiTheme="minorHAnsi" w:hAnsiTheme="minorHAnsi" w:cs="Arial"/>
          <w:sz w:val="21"/>
          <w:szCs w:val="21"/>
        </w:rPr>
        <w:t>such a right to exclusive possession was not seen as necessarily giving B a lease</w:t>
      </w:r>
      <w:r>
        <w:rPr>
          <w:rFonts w:asciiTheme="minorHAnsi" w:hAnsiTheme="minorHAnsi" w:cs="Arial"/>
          <w:sz w:val="21"/>
          <w:szCs w:val="21"/>
        </w:rPr>
        <w:t>, and so occupiers who would now clearly have a lease, and hence a property right in the land, were instead seen as having only a licence</w:t>
      </w:r>
      <w:r w:rsidR="005A0009">
        <w:rPr>
          <w:rFonts w:asciiTheme="minorHAnsi" w:hAnsiTheme="minorHAnsi" w:cs="Arial"/>
          <w:sz w:val="21"/>
          <w:szCs w:val="21"/>
        </w:rPr>
        <w:t xml:space="preserve"> (see further </w:t>
      </w:r>
      <w:r w:rsidR="005A0009">
        <w:rPr>
          <w:rFonts w:asciiTheme="minorHAnsi" w:hAnsiTheme="minorHAnsi" w:cs="Arial"/>
          <w:b/>
          <w:sz w:val="21"/>
          <w:szCs w:val="21"/>
        </w:rPr>
        <w:t>7.42</w:t>
      </w:r>
      <w:r w:rsidR="005A0009">
        <w:rPr>
          <w:rFonts w:asciiTheme="minorHAnsi" w:hAnsiTheme="minorHAnsi" w:cs="Arial"/>
          <w:sz w:val="21"/>
          <w:szCs w:val="21"/>
        </w:rPr>
        <w:t>)</w:t>
      </w:r>
      <w:r>
        <w:rPr>
          <w:rFonts w:asciiTheme="minorHAnsi" w:hAnsiTheme="minorHAnsi" w:cs="Arial"/>
          <w:sz w:val="21"/>
          <w:szCs w:val="21"/>
        </w:rPr>
        <w:t>.</w:t>
      </w:r>
    </w:p>
    <w:p w14:paraId="1B9F6197" w14:textId="4C6F9CF2" w:rsidR="00395582" w:rsidRDefault="00395582" w:rsidP="002E5D50">
      <w:pPr>
        <w:spacing w:after="0" w:line="240" w:lineRule="auto"/>
        <w:jc w:val="both"/>
        <w:rPr>
          <w:rFonts w:asciiTheme="minorHAnsi" w:hAnsiTheme="minorHAnsi" w:cs="Arial"/>
          <w:sz w:val="21"/>
          <w:szCs w:val="21"/>
        </w:rPr>
      </w:pPr>
    </w:p>
    <w:p w14:paraId="70E4C781" w14:textId="77777777" w:rsidR="00395582" w:rsidRDefault="00395582" w:rsidP="002E5D50">
      <w:pPr>
        <w:spacing w:after="0" w:line="240" w:lineRule="auto"/>
        <w:jc w:val="both"/>
        <w:rPr>
          <w:rFonts w:asciiTheme="minorHAnsi" w:hAnsiTheme="minorHAnsi" w:cs="Arial"/>
          <w:sz w:val="21"/>
          <w:szCs w:val="21"/>
        </w:rPr>
      </w:pPr>
    </w:p>
    <w:p w14:paraId="513B9A14" w14:textId="77777777" w:rsidR="00122D08" w:rsidRPr="002E5D50" w:rsidRDefault="00122D08" w:rsidP="002E5D50">
      <w:pPr>
        <w:pStyle w:val="PlainText"/>
        <w:spacing w:after="0" w:line="240" w:lineRule="auto"/>
        <w:jc w:val="both"/>
        <w:rPr>
          <w:rFonts w:asciiTheme="minorHAnsi" w:hAnsiTheme="minorHAnsi" w:cs="Arial"/>
          <w:sz w:val="21"/>
          <w:szCs w:val="21"/>
        </w:rPr>
      </w:pPr>
    </w:p>
    <w:sectPr w:rsidR="00122D08" w:rsidRPr="002E5D50" w:rsidSect="00695554">
      <w:headerReference w:type="default" r:id="rId7"/>
      <w:footerReference w:type="default" r:id="rId8"/>
      <w:pgSz w:w="11906" w:h="16838"/>
      <w:pgMar w:top="1440" w:right="1152" w:bottom="1560" w:left="1152" w:header="72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36DE8" w14:textId="77777777" w:rsidR="004A2E45" w:rsidRDefault="004A2E45">
      <w:r>
        <w:separator/>
      </w:r>
    </w:p>
  </w:endnote>
  <w:endnote w:type="continuationSeparator" w:id="0">
    <w:p w14:paraId="69E0B10B" w14:textId="77777777" w:rsidR="004A2E45" w:rsidRDefault="004A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4E3FA" w14:textId="77777777" w:rsidR="008A7600" w:rsidRPr="002E5D50" w:rsidRDefault="002E5D50" w:rsidP="002E5D50">
    <w:pPr>
      <w:pStyle w:val="Footer"/>
      <w:jc w:val="right"/>
      <w:rPr>
        <w:rFonts w:asciiTheme="minorHAnsi" w:hAnsiTheme="minorHAnsi"/>
        <w:color w:val="808080"/>
        <w:sz w:val="20"/>
        <w:szCs w:val="20"/>
      </w:rPr>
    </w:pPr>
    <w:r>
      <w:rPr>
        <w:rFonts w:asciiTheme="minorHAnsi" w:hAnsiTheme="minorHAnsi"/>
        <w:noProof/>
        <w:color w:val="808080"/>
        <w:sz w:val="20"/>
        <w:szCs w:val="20"/>
        <w:lang w:val="en-US"/>
      </w:rPr>
      <w:drawing>
        <wp:inline distT="0" distB="0" distL="0" distR="0" wp14:anchorId="694E81C9" wp14:editId="03D5FD20">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14:paraId="024ADFA4" w14:textId="2AE41538" w:rsidR="00BC0487" w:rsidRPr="002E5D50" w:rsidRDefault="008A7600" w:rsidP="002E5D50">
    <w:pPr>
      <w:pStyle w:val="Footer"/>
      <w:rPr>
        <w:rFonts w:asciiTheme="minorHAnsi" w:hAnsiTheme="minorHAnsi"/>
        <w:color w:val="808080"/>
        <w:sz w:val="20"/>
        <w:szCs w:val="20"/>
      </w:rPr>
    </w:pPr>
    <w:r w:rsidRPr="002E5D50">
      <w:rPr>
        <w:rFonts w:asciiTheme="minorHAnsi" w:hAnsiTheme="minorHAnsi"/>
        <w:color w:val="808080"/>
        <w:sz w:val="20"/>
        <w:szCs w:val="20"/>
      </w:rPr>
      <w:t xml:space="preserve">© </w:t>
    </w:r>
    <w:r w:rsidR="002E5D50" w:rsidRPr="002E5D50">
      <w:rPr>
        <w:rFonts w:asciiTheme="minorHAnsi" w:hAnsiTheme="minorHAnsi"/>
        <w:color w:val="808080"/>
        <w:sz w:val="20"/>
        <w:szCs w:val="20"/>
      </w:rPr>
      <w:t>B McFarlane, SA Nield</w:t>
    </w:r>
    <w:r w:rsidRPr="002E5D50">
      <w:rPr>
        <w:rFonts w:asciiTheme="minorHAnsi" w:hAnsiTheme="minorHAnsi"/>
        <w:color w:val="808080"/>
        <w:sz w:val="20"/>
        <w:szCs w:val="20"/>
      </w:rPr>
      <w:t>, 20</w:t>
    </w:r>
    <w:r w:rsidR="00507AB5">
      <w:rPr>
        <w:rFonts w:asciiTheme="minorHAnsi" w:hAnsiTheme="minorHAnsi"/>
        <w:color w:val="808080"/>
        <w:sz w:val="20"/>
        <w:szCs w:val="20"/>
      </w:rPr>
      <w:t>20</w:t>
    </w:r>
    <w:r w:rsidRPr="002E5D50">
      <w:rPr>
        <w:rFonts w:asciiTheme="minorHAnsi" w:hAnsiTheme="minorHAnsi"/>
        <w:color w:val="808080"/>
        <w:sz w:val="20"/>
        <w:szCs w:val="20"/>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A4798" w14:textId="77777777" w:rsidR="004A2E45" w:rsidRDefault="004A2E45">
      <w:r>
        <w:separator/>
      </w:r>
    </w:p>
  </w:footnote>
  <w:footnote w:type="continuationSeparator" w:id="0">
    <w:p w14:paraId="684CB9FB" w14:textId="77777777" w:rsidR="004A2E45" w:rsidRDefault="004A2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67541" w14:textId="77777777" w:rsidR="002E5D50" w:rsidRDefault="00BC0487" w:rsidP="002E5D50">
    <w:pPr>
      <w:pStyle w:val="Header"/>
      <w:spacing w:after="0" w:line="240" w:lineRule="auto"/>
      <w:jc w:val="center"/>
      <w:rPr>
        <w:rFonts w:asciiTheme="minorHAnsi" w:hAnsiTheme="minorHAnsi" w:cs="Arial"/>
        <w:color w:val="808080"/>
        <w:sz w:val="20"/>
        <w:szCs w:val="24"/>
      </w:rPr>
    </w:pPr>
    <w:r w:rsidRPr="002E5D50">
      <w:rPr>
        <w:rFonts w:asciiTheme="minorHAnsi" w:hAnsiTheme="minorHAnsi" w:cs="Arial"/>
        <w:color w:val="808080"/>
        <w:sz w:val="20"/>
        <w:szCs w:val="24"/>
      </w:rPr>
      <w:t xml:space="preserve">McFarlane, Hopkins &amp; Nield: </w:t>
    </w:r>
    <w:r w:rsidR="00AA1A92">
      <w:rPr>
        <w:rFonts w:asciiTheme="minorHAnsi" w:hAnsiTheme="minorHAnsi" w:cs="Arial"/>
        <w:i/>
        <w:color w:val="808080"/>
        <w:sz w:val="20"/>
        <w:szCs w:val="24"/>
      </w:rPr>
      <w:t xml:space="preserve">Core Text: </w:t>
    </w:r>
    <w:r w:rsidRPr="002E5D50">
      <w:rPr>
        <w:rFonts w:asciiTheme="minorHAnsi" w:hAnsiTheme="minorHAnsi" w:cs="Arial"/>
        <w:i/>
        <w:color w:val="808080"/>
        <w:sz w:val="20"/>
        <w:szCs w:val="24"/>
      </w:rPr>
      <w:t>Land Law</w:t>
    </w:r>
    <w:r w:rsidR="00AA1A92">
      <w:rPr>
        <w:rFonts w:asciiTheme="minorHAnsi" w:hAnsiTheme="minorHAnsi" w:cs="Arial"/>
        <w:i/>
        <w:color w:val="808080"/>
        <w:sz w:val="20"/>
        <w:szCs w:val="24"/>
      </w:rPr>
      <w:t xml:space="preserve"> </w:t>
    </w:r>
    <w:r w:rsidR="00AA1A92">
      <w:rPr>
        <w:rFonts w:asciiTheme="minorHAnsi" w:hAnsiTheme="minorHAnsi" w:cs="Arial"/>
        <w:color w:val="808080"/>
        <w:sz w:val="20"/>
        <w:szCs w:val="24"/>
      </w:rPr>
      <w:t>2</w:t>
    </w:r>
    <w:r w:rsidR="00AA1A92" w:rsidRPr="00AA1A92">
      <w:rPr>
        <w:rFonts w:asciiTheme="minorHAnsi" w:hAnsiTheme="minorHAnsi" w:cs="Arial"/>
        <w:color w:val="808080"/>
        <w:sz w:val="20"/>
        <w:szCs w:val="24"/>
        <w:vertAlign w:val="superscript"/>
      </w:rPr>
      <w:t>nd</w:t>
    </w:r>
    <w:r w:rsidR="00AA1A92">
      <w:rPr>
        <w:rFonts w:asciiTheme="minorHAnsi" w:hAnsiTheme="minorHAnsi" w:cs="Arial"/>
        <w:color w:val="808080"/>
        <w:sz w:val="20"/>
        <w:szCs w:val="24"/>
      </w:rPr>
      <w:t xml:space="preserve"> </w:t>
    </w:r>
    <w:r w:rsidR="002E5D50">
      <w:rPr>
        <w:rFonts w:asciiTheme="minorHAnsi" w:hAnsiTheme="minorHAnsi" w:cs="Arial"/>
        <w:color w:val="808080"/>
        <w:sz w:val="20"/>
        <w:szCs w:val="24"/>
      </w:rPr>
      <w:t>edition</w:t>
    </w:r>
  </w:p>
  <w:p w14:paraId="273D1036" w14:textId="77777777" w:rsidR="00BC0487" w:rsidRPr="002E5D50" w:rsidRDefault="002E5D50" w:rsidP="002E5D50">
    <w:pPr>
      <w:pStyle w:val="Header"/>
      <w:spacing w:after="0" w:line="240" w:lineRule="auto"/>
      <w:jc w:val="center"/>
      <w:rPr>
        <w:rFonts w:asciiTheme="minorHAnsi" w:hAnsiTheme="minorHAnsi" w:cs="Arial"/>
        <w:color w:val="808080"/>
        <w:sz w:val="20"/>
        <w:szCs w:val="24"/>
      </w:rPr>
    </w:pPr>
    <w:r>
      <w:rPr>
        <w:rFonts w:asciiTheme="minorHAnsi" w:hAnsiTheme="minorHAnsi" w:cs="Arial"/>
        <w:color w:val="808080"/>
        <w:sz w:val="20"/>
        <w:szCs w:val="24"/>
      </w:rPr>
      <w:t>Answer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93203E"/>
    <w:multiLevelType w:val="hybridMultilevel"/>
    <w:tmpl w:val="9F52A866"/>
    <w:lvl w:ilvl="0" w:tplc="4ECE9C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B9"/>
    <w:rsid w:val="000150D5"/>
    <w:rsid w:val="000230AF"/>
    <w:rsid w:val="000631DA"/>
    <w:rsid w:val="000A7DE5"/>
    <w:rsid w:val="000D6F31"/>
    <w:rsid w:val="000E260E"/>
    <w:rsid w:val="00120BB1"/>
    <w:rsid w:val="00122D08"/>
    <w:rsid w:val="0015356B"/>
    <w:rsid w:val="001778C3"/>
    <w:rsid w:val="00187B32"/>
    <w:rsid w:val="001A4D9D"/>
    <w:rsid w:val="001F4DB9"/>
    <w:rsid w:val="00204F58"/>
    <w:rsid w:val="00232F9A"/>
    <w:rsid w:val="002A666D"/>
    <w:rsid w:val="002C1084"/>
    <w:rsid w:val="002E5D50"/>
    <w:rsid w:val="003038CF"/>
    <w:rsid w:val="00310BC5"/>
    <w:rsid w:val="00336F0B"/>
    <w:rsid w:val="00395582"/>
    <w:rsid w:val="00437217"/>
    <w:rsid w:val="004A2969"/>
    <w:rsid w:val="004A2E45"/>
    <w:rsid w:val="004B53C6"/>
    <w:rsid w:val="004F1D5B"/>
    <w:rsid w:val="00507AB5"/>
    <w:rsid w:val="00534E05"/>
    <w:rsid w:val="00554203"/>
    <w:rsid w:val="00595D76"/>
    <w:rsid w:val="005A0009"/>
    <w:rsid w:val="00651EF2"/>
    <w:rsid w:val="00667E1F"/>
    <w:rsid w:val="00695554"/>
    <w:rsid w:val="006E2005"/>
    <w:rsid w:val="006E426E"/>
    <w:rsid w:val="007079A2"/>
    <w:rsid w:val="00727C02"/>
    <w:rsid w:val="00735524"/>
    <w:rsid w:val="00764D7A"/>
    <w:rsid w:val="00775E3F"/>
    <w:rsid w:val="0079517F"/>
    <w:rsid w:val="00813E96"/>
    <w:rsid w:val="00823CFC"/>
    <w:rsid w:val="00843397"/>
    <w:rsid w:val="00877DC1"/>
    <w:rsid w:val="008A7600"/>
    <w:rsid w:val="008D5961"/>
    <w:rsid w:val="008F4590"/>
    <w:rsid w:val="00932BAF"/>
    <w:rsid w:val="009C237B"/>
    <w:rsid w:val="00A45C5D"/>
    <w:rsid w:val="00A87F1F"/>
    <w:rsid w:val="00A90EE2"/>
    <w:rsid w:val="00A94811"/>
    <w:rsid w:val="00AA1A92"/>
    <w:rsid w:val="00AA6841"/>
    <w:rsid w:val="00B057BE"/>
    <w:rsid w:val="00B43BAC"/>
    <w:rsid w:val="00B47B26"/>
    <w:rsid w:val="00B602BB"/>
    <w:rsid w:val="00BB2B89"/>
    <w:rsid w:val="00BC0487"/>
    <w:rsid w:val="00C16D85"/>
    <w:rsid w:val="00C2703F"/>
    <w:rsid w:val="00CA1F62"/>
    <w:rsid w:val="00CA77DA"/>
    <w:rsid w:val="00E602DE"/>
    <w:rsid w:val="00E86406"/>
    <w:rsid w:val="00EA6782"/>
    <w:rsid w:val="00EC2D12"/>
    <w:rsid w:val="00EF1460"/>
    <w:rsid w:val="00F0155A"/>
    <w:rsid w:val="00F42FC6"/>
    <w:rsid w:val="00F44357"/>
    <w:rsid w:val="00FA3284"/>
    <w:rsid w:val="00FE2BB9"/>
    <w:rsid w:val="00FF6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1A151"/>
  <w15:docId w15:val="{88553330-34A0-B147-AC85-4D0767C8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57BE"/>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customStyle="1" w:styleId="documentbody1">
    <w:name w:val="documentbody1"/>
    <w:rsid w:val="00B057BE"/>
    <w:rPr>
      <w:rFonts w:ascii="Verdana" w:hAnsi="Verdana" w:cs="Times New Roman"/>
      <w:sz w:val="19"/>
      <w:szCs w:val="19"/>
    </w:rPr>
  </w:style>
  <w:style w:type="character" w:customStyle="1" w:styleId="FooterChar">
    <w:name w:val="Footer Char"/>
    <w:link w:val="Footer"/>
    <w:rsid w:val="008A7600"/>
    <w:rPr>
      <w:sz w:val="22"/>
      <w:szCs w:val="22"/>
      <w:lang w:eastAsia="en-US"/>
    </w:rPr>
  </w:style>
  <w:style w:type="paragraph" w:styleId="BalloonText">
    <w:name w:val="Balloon Text"/>
    <w:basedOn w:val="Normal"/>
    <w:link w:val="BalloonTextChar"/>
    <w:rsid w:val="002E5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E5D50"/>
    <w:rPr>
      <w:rFonts w:ascii="Tahoma" w:hAnsi="Tahoma" w:cs="Tahoma"/>
      <w:sz w:val="16"/>
      <w:szCs w:val="16"/>
      <w:lang w:val="en-GB"/>
    </w:rPr>
  </w:style>
  <w:style w:type="paragraph" w:styleId="ListParagraph">
    <w:name w:val="List Paragraph"/>
    <w:basedOn w:val="Normal"/>
    <w:uiPriority w:val="34"/>
    <w:qFormat/>
    <w:rsid w:val="00AA1A92"/>
    <w:pPr>
      <w:spacing w:after="0" w:line="240" w:lineRule="auto"/>
      <w:ind w:left="720"/>
      <w:contextualSpacing/>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CheyneS</dc:creator>
  <cp:lastModifiedBy>MERRICK, Hayden</cp:lastModifiedBy>
  <cp:revision>7</cp:revision>
  <dcterms:created xsi:type="dcterms:W3CDTF">2020-04-04T18:27:00Z</dcterms:created>
  <dcterms:modified xsi:type="dcterms:W3CDTF">2020-04-09T12:47:00Z</dcterms:modified>
</cp:coreProperties>
</file>