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DE2B" w14:textId="77777777" w:rsidR="00764D7A" w:rsidRPr="002E5D50" w:rsidRDefault="00764D7A" w:rsidP="002E5D50">
      <w:pPr>
        <w:spacing w:after="0" w:line="240" w:lineRule="auto"/>
        <w:jc w:val="both"/>
        <w:rPr>
          <w:rFonts w:asciiTheme="minorHAnsi" w:hAnsiTheme="minorHAnsi" w:cs="Arial"/>
          <w:b/>
          <w:sz w:val="21"/>
          <w:szCs w:val="21"/>
        </w:rPr>
      </w:pPr>
    </w:p>
    <w:p w14:paraId="1BC20372" w14:textId="6710CAFC" w:rsidR="00204F58" w:rsidRPr="002E5D50" w:rsidRDefault="002E5D50" w:rsidP="002E5D50">
      <w:pPr>
        <w:spacing w:after="0" w:line="240" w:lineRule="auto"/>
        <w:jc w:val="center"/>
        <w:rPr>
          <w:rFonts w:asciiTheme="minorHAnsi" w:hAnsiTheme="minorHAnsi" w:cs="Arial"/>
          <w:b/>
          <w:sz w:val="32"/>
          <w:szCs w:val="21"/>
        </w:rPr>
      </w:pPr>
      <w:r w:rsidRPr="002E5D50">
        <w:rPr>
          <w:rFonts w:asciiTheme="minorHAnsi" w:hAnsiTheme="minorHAnsi" w:cs="Arial"/>
          <w:b/>
          <w:sz w:val="32"/>
          <w:szCs w:val="21"/>
        </w:rPr>
        <w:t xml:space="preserve">Chapter </w:t>
      </w:r>
      <w:r w:rsidR="00D65F7F">
        <w:rPr>
          <w:rFonts w:asciiTheme="minorHAnsi" w:hAnsiTheme="minorHAnsi" w:cs="Arial"/>
          <w:b/>
          <w:sz w:val="32"/>
          <w:szCs w:val="21"/>
        </w:rPr>
        <w:t>1</w:t>
      </w:r>
      <w:r w:rsidR="00AD3291">
        <w:rPr>
          <w:rFonts w:asciiTheme="minorHAnsi" w:hAnsiTheme="minorHAnsi" w:cs="Arial"/>
          <w:b/>
          <w:sz w:val="32"/>
          <w:szCs w:val="21"/>
        </w:rPr>
        <w:t>2</w:t>
      </w:r>
    </w:p>
    <w:p w14:paraId="7D0AEE7F" w14:textId="77777777" w:rsidR="00204F58" w:rsidRPr="002E5D50" w:rsidRDefault="00204F58" w:rsidP="002E5D50">
      <w:pPr>
        <w:spacing w:after="0" w:line="240" w:lineRule="auto"/>
        <w:jc w:val="both"/>
        <w:rPr>
          <w:rFonts w:asciiTheme="minorHAnsi" w:hAnsiTheme="minorHAnsi" w:cs="Arial"/>
          <w:b/>
          <w:sz w:val="21"/>
          <w:szCs w:val="21"/>
        </w:rPr>
      </w:pPr>
    </w:p>
    <w:p w14:paraId="1F7C1D5F" w14:textId="5F63FBEB" w:rsidR="001778C3" w:rsidRDefault="001778C3" w:rsidP="001778C3">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1</w:t>
      </w:r>
      <w:r w:rsidRPr="002E5D50">
        <w:rPr>
          <w:rFonts w:asciiTheme="minorHAnsi" w:hAnsiTheme="minorHAnsi" w:cs="Arial"/>
          <w:b/>
          <w:sz w:val="21"/>
          <w:szCs w:val="21"/>
        </w:rPr>
        <w:t xml:space="preserve">: </w:t>
      </w:r>
      <w:r w:rsidR="009442C4">
        <w:rPr>
          <w:rFonts w:asciiTheme="minorHAnsi" w:hAnsiTheme="minorHAnsi" w:cs="Arial"/>
          <w:b/>
          <w:sz w:val="21"/>
          <w:szCs w:val="21"/>
        </w:rPr>
        <w:t>Are there good reasons for thinking that certainty is a particularly important concern in land law</w:t>
      </w:r>
      <w:r w:rsidR="00D65F7F">
        <w:rPr>
          <w:rFonts w:asciiTheme="minorHAnsi" w:hAnsiTheme="minorHAnsi" w:cs="Arial"/>
          <w:b/>
          <w:sz w:val="21"/>
          <w:szCs w:val="21"/>
        </w:rPr>
        <w:t>?</w:t>
      </w:r>
    </w:p>
    <w:p w14:paraId="2E90CAF5" w14:textId="52C93D07" w:rsidR="001132E1" w:rsidRDefault="001132E1" w:rsidP="001778C3">
      <w:pPr>
        <w:spacing w:after="0" w:line="240" w:lineRule="auto"/>
        <w:jc w:val="both"/>
        <w:rPr>
          <w:rFonts w:asciiTheme="minorHAnsi" w:hAnsiTheme="minorHAnsi" w:cs="Arial"/>
          <w:b/>
          <w:sz w:val="21"/>
          <w:szCs w:val="21"/>
        </w:rPr>
      </w:pPr>
    </w:p>
    <w:p w14:paraId="093F3447" w14:textId="1A844D68" w:rsidR="006E1DD2" w:rsidRPr="006E1DD2" w:rsidRDefault="0025332C"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Certainty is of course an important value in all areas of law, and particularly in those that involve parties </w:t>
      </w:r>
      <w:r w:rsidR="006E1DD2">
        <w:rPr>
          <w:rFonts w:asciiTheme="minorHAnsi" w:hAnsiTheme="minorHAnsi" w:cs="Arial"/>
          <w:sz w:val="21"/>
          <w:szCs w:val="21"/>
        </w:rPr>
        <w:t xml:space="preserve">planning for the future and transacting with each other (see </w:t>
      </w:r>
      <w:r w:rsidR="006E1DD2">
        <w:rPr>
          <w:rFonts w:asciiTheme="minorHAnsi" w:hAnsiTheme="minorHAnsi" w:cs="Arial"/>
          <w:b/>
          <w:sz w:val="21"/>
          <w:szCs w:val="21"/>
        </w:rPr>
        <w:t>12.11</w:t>
      </w:r>
      <w:r w:rsidR="006E1DD2">
        <w:rPr>
          <w:rFonts w:asciiTheme="minorHAnsi" w:hAnsiTheme="minorHAnsi" w:cs="Arial"/>
          <w:sz w:val="21"/>
          <w:szCs w:val="21"/>
        </w:rPr>
        <w:t xml:space="preserve">). For example, for many people, buying a property will be the most significant financial transaction of their lives, and they need to know how to acquire the property, and how to avoid, if possible, being bound by any pre-existing rights in the property. In </w:t>
      </w:r>
      <w:r w:rsidR="006E1DD2">
        <w:rPr>
          <w:rFonts w:asciiTheme="minorHAnsi" w:hAnsiTheme="minorHAnsi" w:cs="Arial"/>
          <w:i/>
          <w:sz w:val="21"/>
          <w:szCs w:val="21"/>
        </w:rPr>
        <w:t xml:space="preserve">McDonald v McDonald </w:t>
      </w:r>
      <w:r w:rsidR="006E1DD2">
        <w:rPr>
          <w:rFonts w:asciiTheme="minorHAnsi" w:hAnsiTheme="minorHAnsi" w:cs="Arial"/>
          <w:sz w:val="21"/>
          <w:szCs w:val="21"/>
        </w:rPr>
        <w:t>(2016), for example, the Supreme Court emphasized the importan</w:t>
      </w:r>
      <w:r w:rsidR="00EE3A5A">
        <w:rPr>
          <w:rFonts w:asciiTheme="minorHAnsi" w:hAnsiTheme="minorHAnsi" w:cs="Arial"/>
          <w:sz w:val="21"/>
          <w:szCs w:val="21"/>
        </w:rPr>
        <w:t>ce</w:t>
      </w:r>
      <w:r w:rsidR="00C33139">
        <w:rPr>
          <w:rFonts w:asciiTheme="minorHAnsi" w:hAnsiTheme="minorHAnsi" w:cs="Arial"/>
          <w:sz w:val="21"/>
          <w:szCs w:val="21"/>
        </w:rPr>
        <w:t>, recognized by Parliament in the Housing Act 1988,</w:t>
      </w:r>
      <w:r w:rsidR="006E1DD2">
        <w:rPr>
          <w:rFonts w:asciiTheme="minorHAnsi" w:hAnsiTheme="minorHAnsi" w:cs="Arial"/>
          <w:sz w:val="21"/>
          <w:szCs w:val="21"/>
        </w:rPr>
        <w:t xml:space="preserve"> of certainty to landlords who have let out their land and need to know in what circumstances they will be able to regain possession of that land (see </w:t>
      </w:r>
      <w:r w:rsidR="006E1DD2">
        <w:rPr>
          <w:rFonts w:asciiTheme="minorHAnsi" w:hAnsiTheme="minorHAnsi" w:cs="Arial"/>
          <w:b/>
          <w:sz w:val="21"/>
          <w:szCs w:val="21"/>
        </w:rPr>
        <w:t>12.35</w:t>
      </w:r>
      <w:r w:rsidR="006E1DD2">
        <w:rPr>
          <w:rFonts w:asciiTheme="minorHAnsi" w:hAnsiTheme="minorHAnsi" w:cs="Arial"/>
          <w:sz w:val="21"/>
          <w:szCs w:val="21"/>
        </w:rPr>
        <w:t xml:space="preserve">). Property rights of course play </w:t>
      </w:r>
      <w:r w:rsidR="00C33139">
        <w:rPr>
          <w:rFonts w:asciiTheme="minorHAnsi" w:hAnsiTheme="minorHAnsi" w:cs="Arial"/>
          <w:sz w:val="21"/>
          <w:szCs w:val="21"/>
        </w:rPr>
        <w:t>a key</w:t>
      </w:r>
      <w:r w:rsidR="006E1DD2">
        <w:rPr>
          <w:rFonts w:asciiTheme="minorHAnsi" w:hAnsiTheme="minorHAnsi" w:cs="Arial"/>
          <w:sz w:val="21"/>
          <w:szCs w:val="21"/>
        </w:rPr>
        <w:t xml:space="preserve"> role in land law and, as discussed at </w:t>
      </w:r>
      <w:r w:rsidR="006E1DD2">
        <w:rPr>
          <w:rFonts w:asciiTheme="minorHAnsi" w:hAnsiTheme="minorHAnsi" w:cs="Arial"/>
          <w:b/>
          <w:sz w:val="21"/>
          <w:szCs w:val="21"/>
        </w:rPr>
        <w:t>12.20</w:t>
      </w:r>
      <w:r w:rsidR="006E1DD2">
        <w:rPr>
          <w:rFonts w:asciiTheme="minorHAnsi" w:hAnsiTheme="minorHAnsi" w:cs="Arial"/>
          <w:sz w:val="21"/>
          <w:szCs w:val="21"/>
        </w:rPr>
        <w:t xml:space="preserve">, certainty is particularly important in relation to such rights, as it increases the chances for third parties to discover </w:t>
      </w:r>
      <w:r w:rsidR="00C33139">
        <w:rPr>
          <w:rFonts w:asciiTheme="minorHAnsi" w:hAnsiTheme="minorHAnsi" w:cs="Arial"/>
          <w:sz w:val="21"/>
          <w:szCs w:val="21"/>
        </w:rPr>
        <w:t>them</w:t>
      </w:r>
      <w:r w:rsidR="006E1DD2">
        <w:rPr>
          <w:rFonts w:asciiTheme="minorHAnsi" w:hAnsiTheme="minorHAnsi" w:cs="Arial"/>
          <w:sz w:val="21"/>
          <w:szCs w:val="21"/>
        </w:rPr>
        <w:t xml:space="preserve">. As noted at </w:t>
      </w:r>
      <w:r w:rsidR="006E1DD2">
        <w:rPr>
          <w:rFonts w:asciiTheme="minorHAnsi" w:hAnsiTheme="minorHAnsi" w:cs="Arial"/>
          <w:b/>
          <w:sz w:val="21"/>
          <w:szCs w:val="21"/>
        </w:rPr>
        <w:t>12.49</w:t>
      </w:r>
      <w:r w:rsidR="006E1DD2">
        <w:rPr>
          <w:rFonts w:asciiTheme="minorHAnsi" w:hAnsiTheme="minorHAnsi" w:cs="Arial"/>
          <w:sz w:val="21"/>
          <w:szCs w:val="21"/>
        </w:rPr>
        <w:t>, the special features of land as a permanent but finite resource also mean that certainty is of particular importance in land law.</w:t>
      </w:r>
    </w:p>
    <w:p w14:paraId="2063048B" w14:textId="77777777" w:rsidR="006E1DD2" w:rsidRPr="0082412E" w:rsidRDefault="006E1DD2" w:rsidP="005207F5">
      <w:pPr>
        <w:spacing w:after="0" w:line="240" w:lineRule="auto"/>
        <w:jc w:val="both"/>
        <w:rPr>
          <w:rFonts w:asciiTheme="minorHAnsi" w:hAnsiTheme="minorHAnsi" w:cs="Arial"/>
          <w:b/>
          <w:sz w:val="21"/>
          <w:szCs w:val="21"/>
        </w:rPr>
      </w:pPr>
    </w:p>
    <w:p w14:paraId="771E9FCD" w14:textId="7DD7771E" w:rsidR="005207F5" w:rsidRDefault="005207F5" w:rsidP="005207F5">
      <w:pPr>
        <w:spacing w:after="0" w:line="240" w:lineRule="auto"/>
        <w:jc w:val="both"/>
        <w:rPr>
          <w:rFonts w:asciiTheme="minorHAnsi" w:hAnsiTheme="minorHAnsi" w:cs="Arial"/>
          <w:b/>
          <w:sz w:val="21"/>
          <w:szCs w:val="21"/>
        </w:rPr>
      </w:pPr>
      <w:r w:rsidRPr="0082412E">
        <w:rPr>
          <w:rFonts w:asciiTheme="minorHAnsi" w:hAnsiTheme="minorHAnsi" w:cs="Arial"/>
          <w:b/>
          <w:sz w:val="21"/>
          <w:szCs w:val="21"/>
        </w:rPr>
        <w:t xml:space="preserve">Question 2: </w:t>
      </w:r>
      <w:r w:rsidR="00D65F7F">
        <w:rPr>
          <w:rFonts w:asciiTheme="minorHAnsi" w:hAnsiTheme="minorHAnsi" w:cs="Arial"/>
          <w:b/>
          <w:sz w:val="21"/>
          <w:szCs w:val="21"/>
        </w:rPr>
        <w:t xml:space="preserve">What </w:t>
      </w:r>
      <w:r w:rsidR="009442C4">
        <w:rPr>
          <w:rFonts w:asciiTheme="minorHAnsi" w:hAnsiTheme="minorHAnsi" w:cs="Arial"/>
          <w:b/>
          <w:sz w:val="21"/>
          <w:szCs w:val="21"/>
        </w:rPr>
        <w:t>might be the disadvantages of a judicial approach that focuses entirely on applying the relevant legal concepts and pays no heed to the particular context of a dispute</w:t>
      </w:r>
      <w:r w:rsidR="00D65F7F">
        <w:rPr>
          <w:rFonts w:asciiTheme="minorHAnsi" w:hAnsiTheme="minorHAnsi" w:cs="Arial"/>
          <w:b/>
          <w:sz w:val="21"/>
          <w:szCs w:val="21"/>
        </w:rPr>
        <w:t>?</w:t>
      </w:r>
    </w:p>
    <w:p w14:paraId="4E01A44C" w14:textId="3008CEC1" w:rsidR="006E1DD2" w:rsidRDefault="006E1DD2" w:rsidP="005207F5">
      <w:pPr>
        <w:spacing w:after="0" w:line="240" w:lineRule="auto"/>
        <w:jc w:val="both"/>
        <w:rPr>
          <w:rFonts w:asciiTheme="minorHAnsi" w:hAnsiTheme="minorHAnsi" w:cs="Arial"/>
          <w:b/>
          <w:sz w:val="21"/>
          <w:szCs w:val="21"/>
        </w:rPr>
      </w:pPr>
    </w:p>
    <w:p w14:paraId="5CF07F1A" w14:textId="53BB8CBC" w:rsidR="006E1DD2" w:rsidRPr="00983ADA" w:rsidRDefault="006E1DD2"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Chapter 12 as a whole explores the tension between concepts and contexts in land law, and it is pointed out at </w:t>
      </w:r>
      <w:r>
        <w:rPr>
          <w:rFonts w:asciiTheme="minorHAnsi" w:hAnsiTheme="minorHAnsi" w:cs="Arial"/>
          <w:b/>
          <w:sz w:val="21"/>
          <w:szCs w:val="21"/>
        </w:rPr>
        <w:t>12.10-12.16</w:t>
      </w:r>
      <w:r>
        <w:rPr>
          <w:rFonts w:asciiTheme="minorHAnsi" w:hAnsiTheme="minorHAnsi" w:cs="Arial"/>
          <w:sz w:val="21"/>
          <w:szCs w:val="21"/>
        </w:rPr>
        <w:t xml:space="preserve"> that we would not expect any judge to consider only one of </w:t>
      </w:r>
      <w:r w:rsidR="00C33139">
        <w:rPr>
          <w:rFonts w:asciiTheme="minorHAnsi" w:hAnsiTheme="minorHAnsi" w:cs="Arial"/>
          <w:sz w:val="21"/>
          <w:szCs w:val="21"/>
        </w:rPr>
        <w:t>the two</w:t>
      </w:r>
      <w:r>
        <w:rPr>
          <w:rFonts w:asciiTheme="minorHAnsi" w:hAnsiTheme="minorHAnsi" w:cs="Arial"/>
          <w:sz w:val="21"/>
          <w:szCs w:val="21"/>
        </w:rPr>
        <w:t xml:space="preserve">. The importance of context was recognized (albeit in overstated terms) by Lady Hale in </w:t>
      </w:r>
      <w:r>
        <w:rPr>
          <w:rFonts w:asciiTheme="minorHAnsi" w:hAnsiTheme="minorHAnsi" w:cs="Arial"/>
          <w:i/>
          <w:sz w:val="21"/>
          <w:szCs w:val="21"/>
        </w:rPr>
        <w:t>Stack v Dowden</w:t>
      </w:r>
      <w:r>
        <w:rPr>
          <w:rFonts w:asciiTheme="minorHAnsi" w:hAnsiTheme="minorHAnsi" w:cs="Arial"/>
          <w:sz w:val="21"/>
          <w:szCs w:val="21"/>
        </w:rPr>
        <w:t xml:space="preserve"> (2007) when stating that ‘In law, “context is everything”.’ (see </w:t>
      </w:r>
      <w:r>
        <w:rPr>
          <w:rFonts w:asciiTheme="minorHAnsi" w:hAnsiTheme="minorHAnsi" w:cs="Arial"/>
          <w:b/>
          <w:sz w:val="21"/>
          <w:szCs w:val="21"/>
        </w:rPr>
        <w:t>12.5</w:t>
      </w:r>
      <w:r>
        <w:rPr>
          <w:rFonts w:asciiTheme="minorHAnsi" w:hAnsiTheme="minorHAnsi" w:cs="Arial"/>
          <w:sz w:val="21"/>
          <w:szCs w:val="21"/>
        </w:rPr>
        <w:t xml:space="preserve">). So, in a family home case such as </w:t>
      </w:r>
      <w:r>
        <w:rPr>
          <w:rFonts w:asciiTheme="minorHAnsi" w:hAnsiTheme="minorHAnsi" w:cs="Arial"/>
          <w:i/>
          <w:sz w:val="21"/>
          <w:szCs w:val="21"/>
        </w:rPr>
        <w:t>Stack</w:t>
      </w:r>
      <w:r>
        <w:rPr>
          <w:rFonts w:asciiTheme="minorHAnsi" w:hAnsiTheme="minorHAnsi" w:cs="Arial"/>
          <w:sz w:val="21"/>
          <w:szCs w:val="21"/>
        </w:rPr>
        <w:t xml:space="preserve">, for example, a court has to </w:t>
      </w:r>
      <w:r w:rsidR="00C33139">
        <w:rPr>
          <w:rFonts w:asciiTheme="minorHAnsi" w:hAnsiTheme="minorHAnsi" w:cs="Arial"/>
          <w:sz w:val="21"/>
          <w:szCs w:val="21"/>
        </w:rPr>
        <w:t>recognize</w:t>
      </w:r>
      <w:r>
        <w:rPr>
          <w:rFonts w:asciiTheme="minorHAnsi" w:hAnsiTheme="minorHAnsi" w:cs="Arial"/>
          <w:sz w:val="21"/>
          <w:szCs w:val="21"/>
        </w:rPr>
        <w:t xml:space="preserve"> that we should not expect a cohabiting </w:t>
      </w:r>
      <w:r w:rsidR="00C33139">
        <w:rPr>
          <w:rFonts w:asciiTheme="minorHAnsi" w:hAnsiTheme="minorHAnsi" w:cs="Arial"/>
          <w:sz w:val="21"/>
          <w:szCs w:val="21"/>
        </w:rPr>
        <w:t xml:space="preserve">couple </w:t>
      </w:r>
      <w:r>
        <w:rPr>
          <w:rFonts w:asciiTheme="minorHAnsi" w:hAnsiTheme="minorHAnsi" w:cs="Arial"/>
          <w:sz w:val="21"/>
          <w:szCs w:val="21"/>
        </w:rPr>
        <w:t xml:space="preserve">to express their intentions in formal, precise ways – similarly, in </w:t>
      </w:r>
      <w:r>
        <w:rPr>
          <w:rFonts w:asciiTheme="minorHAnsi" w:hAnsiTheme="minorHAnsi" w:cs="Arial"/>
          <w:i/>
          <w:sz w:val="21"/>
          <w:szCs w:val="21"/>
        </w:rPr>
        <w:t xml:space="preserve">Thorner v Major </w:t>
      </w:r>
      <w:r>
        <w:rPr>
          <w:rFonts w:asciiTheme="minorHAnsi" w:hAnsiTheme="minorHAnsi" w:cs="Arial"/>
          <w:sz w:val="21"/>
          <w:szCs w:val="21"/>
        </w:rPr>
        <w:t xml:space="preserve">(2009), for example (see </w:t>
      </w:r>
      <w:r>
        <w:rPr>
          <w:rFonts w:asciiTheme="minorHAnsi" w:hAnsiTheme="minorHAnsi" w:cs="Arial"/>
          <w:b/>
          <w:sz w:val="21"/>
          <w:szCs w:val="21"/>
        </w:rPr>
        <w:t>5.</w:t>
      </w:r>
      <w:r w:rsidR="009C6D7F">
        <w:rPr>
          <w:rFonts w:asciiTheme="minorHAnsi" w:hAnsiTheme="minorHAnsi" w:cs="Arial"/>
          <w:b/>
          <w:sz w:val="21"/>
          <w:szCs w:val="21"/>
        </w:rPr>
        <w:t>94</w:t>
      </w:r>
      <w:r w:rsidR="009C6D7F">
        <w:rPr>
          <w:rFonts w:asciiTheme="minorHAnsi" w:hAnsiTheme="minorHAnsi" w:cs="Arial"/>
          <w:sz w:val="21"/>
          <w:szCs w:val="21"/>
        </w:rPr>
        <w:t xml:space="preserve">), the House of Lords took the context of the dealings between Peter and David Thorner into account when finding that, despite the lack of any specific express promise, Peter had made sufficient assurances to David that David would inherit Peter’s farm. </w:t>
      </w:r>
      <w:r w:rsidR="00983ADA">
        <w:rPr>
          <w:rFonts w:asciiTheme="minorHAnsi" w:hAnsiTheme="minorHAnsi" w:cs="Arial"/>
          <w:sz w:val="21"/>
          <w:szCs w:val="21"/>
        </w:rPr>
        <w:t xml:space="preserve">Conversely, in the commercial context of a case such as </w:t>
      </w:r>
      <w:r w:rsidR="00983ADA">
        <w:rPr>
          <w:rFonts w:asciiTheme="minorHAnsi" w:hAnsiTheme="minorHAnsi" w:cs="Arial"/>
          <w:i/>
          <w:sz w:val="21"/>
          <w:szCs w:val="21"/>
        </w:rPr>
        <w:t xml:space="preserve">Cobbe v Yeoman’s Row Management Ltd </w:t>
      </w:r>
      <w:r w:rsidR="00983ADA">
        <w:rPr>
          <w:rFonts w:asciiTheme="minorHAnsi" w:hAnsiTheme="minorHAnsi" w:cs="Arial"/>
          <w:sz w:val="21"/>
          <w:szCs w:val="21"/>
        </w:rPr>
        <w:t xml:space="preserve">(2008) (see </w:t>
      </w:r>
      <w:r w:rsidR="00983ADA">
        <w:rPr>
          <w:rFonts w:asciiTheme="minorHAnsi" w:hAnsiTheme="minorHAnsi" w:cs="Arial"/>
          <w:b/>
          <w:sz w:val="21"/>
          <w:szCs w:val="21"/>
        </w:rPr>
        <w:t>5.102</w:t>
      </w:r>
      <w:r w:rsidR="00983ADA">
        <w:rPr>
          <w:rFonts w:asciiTheme="minorHAnsi" w:hAnsiTheme="minorHAnsi" w:cs="Arial"/>
          <w:sz w:val="21"/>
          <w:szCs w:val="21"/>
        </w:rPr>
        <w:t>), the House of Lords was sensibly more reluctant to find that an assurance had been made. Note though that, in each case, the same legal question was asked (ie had A made the required assurance to B?) and so the context was relevant to the application of the test, rather than to the content of the test itself.</w:t>
      </w:r>
    </w:p>
    <w:p w14:paraId="1A0FD9A2" w14:textId="040DEECD" w:rsidR="00E24A7F" w:rsidRDefault="00E24A7F" w:rsidP="005207F5">
      <w:pPr>
        <w:spacing w:after="0" w:line="240" w:lineRule="auto"/>
        <w:jc w:val="both"/>
        <w:rPr>
          <w:rFonts w:asciiTheme="minorHAnsi" w:hAnsiTheme="minorHAnsi" w:cs="Arial"/>
          <w:b/>
          <w:sz w:val="21"/>
          <w:szCs w:val="21"/>
        </w:rPr>
      </w:pPr>
    </w:p>
    <w:p w14:paraId="3DD02D30" w14:textId="6BAAD2C0" w:rsidR="00795A73" w:rsidRPr="0026373E" w:rsidRDefault="005207F5" w:rsidP="00D65F7F">
      <w:pPr>
        <w:spacing w:after="0" w:line="240" w:lineRule="auto"/>
        <w:jc w:val="both"/>
        <w:rPr>
          <w:rFonts w:asciiTheme="minorHAnsi" w:hAnsiTheme="minorHAnsi" w:cs="Arial"/>
          <w:b/>
          <w:sz w:val="21"/>
          <w:szCs w:val="21"/>
        </w:rPr>
      </w:pPr>
      <w:r>
        <w:rPr>
          <w:rFonts w:asciiTheme="minorHAnsi" w:hAnsiTheme="minorHAnsi" w:cs="Arial"/>
          <w:b/>
          <w:sz w:val="21"/>
          <w:szCs w:val="21"/>
        </w:rPr>
        <w:t xml:space="preserve">Question 3: </w:t>
      </w:r>
      <w:r w:rsidR="009442C4">
        <w:rPr>
          <w:rFonts w:asciiTheme="minorHAnsi" w:hAnsiTheme="minorHAnsi" w:cs="Arial"/>
          <w:b/>
          <w:sz w:val="21"/>
          <w:szCs w:val="21"/>
        </w:rPr>
        <w:t>Do you think it is possible to classify the approaches of individual judges according to their place on a spectrum with a focus on concepts at one end, and a focus on contexts at the other?</w:t>
      </w:r>
    </w:p>
    <w:p w14:paraId="6FD20D14" w14:textId="5B775C06" w:rsidR="0026373E" w:rsidRDefault="0026373E" w:rsidP="005207F5">
      <w:pPr>
        <w:spacing w:after="0" w:line="240" w:lineRule="auto"/>
        <w:jc w:val="both"/>
        <w:rPr>
          <w:rFonts w:asciiTheme="minorHAnsi" w:hAnsiTheme="minorHAnsi" w:cs="Arial"/>
          <w:b/>
          <w:sz w:val="21"/>
          <w:szCs w:val="21"/>
        </w:rPr>
      </w:pPr>
    </w:p>
    <w:p w14:paraId="2232F200" w14:textId="5F461AF8" w:rsidR="00983ADA" w:rsidRPr="00983ADA" w:rsidRDefault="00983ADA" w:rsidP="00214B18">
      <w:pPr>
        <w:pStyle w:val="ColorfulList-Accent11"/>
        <w:spacing w:line="240" w:lineRule="auto"/>
        <w:ind w:left="0"/>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12.16</w:t>
      </w:r>
      <w:r>
        <w:rPr>
          <w:rFonts w:asciiTheme="minorHAnsi" w:hAnsiTheme="minorHAnsi" w:cs="Arial"/>
          <w:sz w:val="21"/>
          <w:szCs w:val="21"/>
        </w:rPr>
        <w:t xml:space="preserve"> (and see the guidance to Question 2 above)</w:t>
      </w:r>
      <w:r w:rsidR="00850126">
        <w:rPr>
          <w:rFonts w:asciiTheme="minorHAnsi" w:hAnsiTheme="minorHAnsi" w:cs="Arial"/>
          <w:sz w:val="21"/>
          <w:szCs w:val="21"/>
        </w:rPr>
        <w:t xml:space="preserve"> </w:t>
      </w:r>
      <w:r>
        <w:rPr>
          <w:rFonts w:asciiTheme="minorHAnsi" w:hAnsiTheme="minorHAnsi" w:cs="Arial"/>
          <w:sz w:val="21"/>
          <w:szCs w:val="21"/>
        </w:rPr>
        <w:t xml:space="preserve">it is very unlikely that any judge would focus on only one of either concepts or contexts to the exclusion of the other. Locating individual judgments on a spectrum may be possible, and can allow for a contrast between eg the approaches of Lord Denning MR in the Court of Appeal, and Lord Wilberforce in the House of Lords, in </w:t>
      </w:r>
      <w:r>
        <w:rPr>
          <w:rFonts w:asciiTheme="minorHAnsi" w:hAnsiTheme="minorHAnsi" w:cs="Arial"/>
          <w:i/>
          <w:sz w:val="21"/>
          <w:szCs w:val="21"/>
        </w:rPr>
        <w:t xml:space="preserve">National Provincial Bank v Ainsworth </w:t>
      </w:r>
      <w:r>
        <w:rPr>
          <w:rFonts w:asciiTheme="minorHAnsi" w:hAnsiTheme="minorHAnsi" w:cs="Arial"/>
          <w:sz w:val="21"/>
          <w:szCs w:val="21"/>
        </w:rPr>
        <w:t xml:space="preserve">(1965) (see </w:t>
      </w:r>
      <w:r>
        <w:rPr>
          <w:rFonts w:asciiTheme="minorHAnsi" w:hAnsiTheme="minorHAnsi" w:cs="Arial"/>
          <w:b/>
          <w:sz w:val="21"/>
          <w:szCs w:val="21"/>
        </w:rPr>
        <w:t>12.13-12.15</w:t>
      </w:r>
      <w:r>
        <w:rPr>
          <w:rFonts w:asciiTheme="minorHAnsi" w:hAnsiTheme="minorHAnsi" w:cs="Arial"/>
          <w:sz w:val="21"/>
          <w:szCs w:val="21"/>
        </w:rPr>
        <w:t xml:space="preserve">). It is less likely that we would find a consistent pattern for a particular judge, even if looking only at one area of law, although it may well be that a judge may have a general preference for one of the ‘doctrinal’ </w:t>
      </w:r>
      <w:r w:rsidR="00C33139">
        <w:rPr>
          <w:rFonts w:asciiTheme="minorHAnsi" w:hAnsiTheme="minorHAnsi" w:cs="Arial"/>
          <w:sz w:val="21"/>
          <w:szCs w:val="21"/>
        </w:rPr>
        <w:t xml:space="preserve">or ‘utility’ </w:t>
      </w:r>
      <w:r>
        <w:rPr>
          <w:rFonts w:asciiTheme="minorHAnsi" w:hAnsiTheme="minorHAnsi" w:cs="Arial"/>
          <w:sz w:val="21"/>
          <w:szCs w:val="21"/>
        </w:rPr>
        <w:t xml:space="preserve">models of rationality discussed at </w:t>
      </w:r>
      <w:r>
        <w:rPr>
          <w:rFonts w:asciiTheme="minorHAnsi" w:hAnsiTheme="minorHAnsi" w:cs="Arial"/>
          <w:b/>
          <w:sz w:val="21"/>
          <w:szCs w:val="21"/>
        </w:rPr>
        <w:t>12.15</w:t>
      </w:r>
      <w:r>
        <w:rPr>
          <w:rFonts w:asciiTheme="minorHAnsi" w:hAnsiTheme="minorHAnsi" w:cs="Arial"/>
          <w:sz w:val="21"/>
          <w:szCs w:val="21"/>
        </w:rPr>
        <w:t xml:space="preserve">. Certainly, for example, Lord Wilberforce’s approach in </w:t>
      </w:r>
      <w:r>
        <w:rPr>
          <w:rFonts w:asciiTheme="minorHAnsi" w:hAnsiTheme="minorHAnsi" w:cs="Arial"/>
          <w:i/>
          <w:sz w:val="21"/>
          <w:szCs w:val="21"/>
        </w:rPr>
        <w:t xml:space="preserve">Ainsworth </w:t>
      </w:r>
      <w:r>
        <w:rPr>
          <w:rFonts w:asciiTheme="minorHAnsi" w:hAnsiTheme="minorHAnsi" w:cs="Arial"/>
          <w:sz w:val="21"/>
          <w:szCs w:val="21"/>
        </w:rPr>
        <w:t>is consistent with the former, whilst Lord Denning MR’s accords with the latter.</w:t>
      </w:r>
      <w:bookmarkStart w:id="0" w:name="_GoBack"/>
      <w:bookmarkEnd w:id="0"/>
    </w:p>
    <w:p w14:paraId="58EEE98D" w14:textId="77777777" w:rsidR="00C138CB" w:rsidRDefault="00C138CB" w:rsidP="005207F5">
      <w:pPr>
        <w:spacing w:after="0" w:line="240" w:lineRule="auto"/>
        <w:jc w:val="both"/>
        <w:rPr>
          <w:rFonts w:asciiTheme="minorHAnsi" w:hAnsiTheme="minorHAnsi" w:cs="Arial"/>
          <w:sz w:val="21"/>
          <w:szCs w:val="21"/>
        </w:rPr>
      </w:pPr>
    </w:p>
    <w:p w14:paraId="5F40AC50" w14:textId="5ECC372A" w:rsidR="001A6506" w:rsidRDefault="00795A73" w:rsidP="005207F5">
      <w:pPr>
        <w:spacing w:after="0" w:line="240" w:lineRule="auto"/>
        <w:jc w:val="both"/>
        <w:rPr>
          <w:rFonts w:asciiTheme="minorHAnsi" w:hAnsiTheme="minorHAnsi" w:cs="Arial"/>
          <w:b/>
          <w:sz w:val="21"/>
          <w:szCs w:val="21"/>
        </w:rPr>
      </w:pPr>
      <w:r w:rsidRPr="00795A73">
        <w:rPr>
          <w:rFonts w:asciiTheme="minorHAnsi" w:hAnsiTheme="minorHAnsi" w:cs="Arial"/>
          <w:b/>
          <w:sz w:val="21"/>
          <w:szCs w:val="21"/>
        </w:rPr>
        <w:t xml:space="preserve">Question 4: </w:t>
      </w:r>
      <w:r w:rsidR="00D65F7F">
        <w:rPr>
          <w:rFonts w:asciiTheme="minorHAnsi" w:hAnsiTheme="minorHAnsi" w:cs="Arial"/>
          <w:b/>
          <w:sz w:val="21"/>
          <w:szCs w:val="21"/>
        </w:rPr>
        <w:t xml:space="preserve">What </w:t>
      </w:r>
      <w:r w:rsidR="009442C4">
        <w:rPr>
          <w:rFonts w:asciiTheme="minorHAnsi" w:hAnsiTheme="minorHAnsi" w:cs="Arial"/>
          <w:b/>
          <w:sz w:val="21"/>
          <w:szCs w:val="21"/>
        </w:rPr>
        <w:t>are the disadvantages of judicial reform of land law</w:t>
      </w:r>
      <w:r w:rsidR="00D65F7F">
        <w:rPr>
          <w:rFonts w:asciiTheme="minorHAnsi" w:hAnsiTheme="minorHAnsi" w:cs="Arial"/>
          <w:b/>
          <w:sz w:val="21"/>
          <w:szCs w:val="21"/>
        </w:rPr>
        <w:t>?</w:t>
      </w:r>
      <w:r w:rsidR="009442C4">
        <w:rPr>
          <w:rFonts w:asciiTheme="minorHAnsi" w:hAnsiTheme="minorHAnsi" w:cs="Arial"/>
          <w:b/>
          <w:sz w:val="21"/>
          <w:szCs w:val="21"/>
        </w:rPr>
        <w:t xml:space="preserve"> What are the disadvantages of legislative reform of land law?</w:t>
      </w:r>
    </w:p>
    <w:p w14:paraId="5B6D3680" w14:textId="07D0AA17" w:rsidR="001C037F" w:rsidRDefault="001C037F" w:rsidP="005207F5">
      <w:pPr>
        <w:spacing w:after="0" w:line="240" w:lineRule="auto"/>
        <w:jc w:val="both"/>
        <w:rPr>
          <w:rFonts w:asciiTheme="minorHAnsi" w:hAnsiTheme="minorHAnsi" w:cs="Arial"/>
          <w:b/>
          <w:sz w:val="21"/>
          <w:szCs w:val="21"/>
        </w:rPr>
      </w:pPr>
    </w:p>
    <w:p w14:paraId="6B19E2CF" w14:textId="244A04BF" w:rsidR="001C037F" w:rsidRPr="006A6EAF" w:rsidRDefault="001C037F" w:rsidP="005207F5">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problems of judicial reform are discussed at </w:t>
      </w:r>
      <w:r>
        <w:rPr>
          <w:rFonts w:asciiTheme="minorHAnsi" w:hAnsiTheme="minorHAnsi" w:cs="Arial"/>
          <w:b/>
          <w:sz w:val="21"/>
          <w:szCs w:val="21"/>
        </w:rPr>
        <w:t>12.23-12.26</w:t>
      </w:r>
      <w:r>
        <w:rPr>
          <w:rFonts w:asciiTheme="minorHAnsi" w:hAnsiTheme="minorHAnsi" w:cs="Arial"/>
          <w:sz w:val="21"/>
          <w:szCs w:val="21"/>
        </w:rPr>
        <w:t xml:space="preserve"> and can be summarised as: (i) legitimacy – in some areas in particular (eg thos</w:t>
      </w:r>
      <w:r w:rsidR="006A6EAF">
        <w:rPr>
          <w:rFonts w:asciiTheme="minorHAnsi" w:hAnsiTheme="minorHAnsi" w:cs="Arial"/>
          <w:sz w:val="21"/>
          <w:szCs w:val="21"/>
        </w:rPr>
        <w:t xml:space="preserve">e related to issues on which there are strong and </w:t>
      </w:r>
      <w:r w:rsidR="00C33139">
        <w:rPr>
          <w:rFonts w:asciiTheme="minorHAnsi" w:hAnsiTheme="minorHAnsi" w:cs="Arial"/>
          <w:sz w:val="21"/>
          <w:szCs w:val="21"/>
        </w:rPr>
        <w:t>oppos</w:t>
      </w:r>
      <w:r w:rsidR="006A6EAF">
        <w:rPr>
          <w:rFonts w:asciiTheme="minorHAnsi" w:hAnsiTheme="minorHAnsi" w:cs="Arial"/>
          <w:sz w:val="21"/>
          <w:szCs w:val="21"/>
        </w:rPr>
        <w:t xml:space="preserve">ing social or political views), it might be felt that change should come from the legislature, not the courts; (ii) </w:t>
      </w:r>
      <w:r>
        <w:rPr>
          <w:rFonts w:asciiTheme="minorHAnsi" w:hAnsiTheme="minorHAnsi" w:cs="Arial"/>
          <w:sz w:val="21"/>
          <w:szCs w:val="21"/>
        </w:rPr>
        <w:t xml:space="preserve">delay – reform requires an appropriate case to come before a court at a </w:t>
      </w:r>
      <w:r w:rsidR="00C33139">
        <w:rPr>
          <w:rFonts w:asciiTheme="minorHAnsi" w:hAnsiTheme="minorHAnsi" w:cs="Arial"/>
          <w:sz w:val="21"/>
          <w:szCs w:val="21"/>
        </w:rPr>
        <w:t>suitable level</w:t>
      </w:r>
      <w:r>
        <w:rPr>
          <w:rFonts w:asciiTheme="minorHAnsi" w:hAnsiTheme="minorHAnsi" w:cs="Arial"/>
          <w:sz w:val="21"/>
          <w:szCs w:val="21"/>
        </w:rPr>
        <w:t xml:space="preserve"> in the hierarchy, and that depends on accidents of </w:t>
      </w:r>
      <w:r>
        <w:rPr>
          <w:rFonts w:asciiTheme="minorHAnsi" w:hAnsiTheme="minorHAnsi" w:cs="Arial"/>
          <w:sz w:val="21"/>
          <w:szCs w:val="21"/>
        </w:rPr>
        <w:lastRenderedPageBreak/>
        <w:t>lit</w:t>
      </w:r>
      <w:r w:rsidR="00C33139">
        <w:rPr>
          <w:rFonts w:asciiTheme="minorHAnsi" w:hAnsiTheme="minorHAnsi" w:cs="Arial"/>
          <w:sz w:val="21"/>
          <w:szCs w:val="21"/>
        </w:rPr>
        <w:t>i</w:t>
      </w:r>
      <w:r>
        <w:rPr>
          <w:rFonts w:asciiTheme="minorHAnsi" w:hAnsiTheme="minorHAnsi" w:cs="Arial"/>
          <w:sz w:val="21"/>
          <w:szCs w:val="21"/>
        </w:rPr>
        <w:t>gation; (i</w:t>
      </w:r>
      <w:r w:rsidR="006A6EAF">
        <w:rPr>
          <w:rFonts w:asciiTheme="minorHAnsi" w:hAnsiTheme="minorHAnsi" w:cs="Arial"/>
          <w:sz w:val="21"/>
          <w:szCs w:val="21"/>
        </w:rPr>
        <w:t>i</w:t>
      </w:r>
      <w:r>
        <w:rPr>
          <w:rFonts w:asciiTheme="minorHAnsi" w:hAnsiTheme="minorHAnsi" w:cs="Arial"/>
          <w:sz w:val="21"/>
          <w:szCs w:val="21"/>
        </w:rPr>
        <w:t xml:space="preserve">i) </w:t>
      </w:r>
      <w:r w:rsidR="006A6EAF">
        <w:rPr>
          <w:rFonts w:asciiTheme="minorHAnsi" w:hAnsiTheme="minorHAnsi" w:cs="Arial"/>
          <w:sz w:val="21"/>
          <w:szCs w:val="21"/>
        </w:rPr>
        <w:t xml:space="preserve">retrospectivity – in English law, judges cannot change the law only for </w:t>
      </w:r>
      <w:r w:rsidR="00C33139">
        <w:rPr>
          <w:rFonts w:asciiTheme="minorHAnsi" w:hAnsiTheme="minorHAnsi" w:cs="Arial"/>
          <w:sz w:val="21"/>
          <w:szCs w:val="21"/>
        </w:rPr>
        <w:t xml:space="preserve">the </w:t>
      </w:r>
      <w:r w:rsidR="006A6EAF">
        <w:rPr>
          <w:rFonts w:asciiTheme="minorHAnsi" w:hAnsiTheme="minorHAnsi" w:cs="Arial"/>
          <w:sz w:val="21"/>
          <w:szCs w:val="21"/>
        </w:rPr>
        <w:t xml:space="preserve">future: any change has retrospective effect, and this can interfere with the bases on which parties have entered into transactions. As discussed at </w:t>
      </w:r>
      <w:r w:rsidR="006A6EAF">
        <w:rPr>
          <w:rFonts w:asciiTheme="minorHAnsi" w:hAnsiTheme="minorHAnsi" w:cs="Arial"/>
          <w:b/>
          <w:sz w:val="21"/>
          <w:szCs w:val="21"/>
        </w:rPr>
        <w:t>12.26</w:t>
      </w:r>
      <w:r w:rsidR="006A6EAF">
        <w:rPr>
          <w:rFonts w:asciiTheme="minorHAnsi" w:hAnsiTheme="minorHAnsi" w:cs="Arial"/>
          <w:sz w:val="21"/>
          <w:szCs w:val="21"/>
        </w:rPr>
        <w:t>,</w:t>
      </w:r>
      <w:r w:rsidR="006A6EAF">
        <w:rPr>
          <w:rFonts w:asciiTheme="minorHAnsi" w:hAnsiTheme="minorHAnsi" w:cs="Arial"/>
          <w:b/>
          <w:sz w:val="21"/>
          <w:szCs w:val="21"/>
        </w:rPr>
        <w:t xml:space="preserve"> </w:t>
      </w:r>
      <w:r w:rsidR="006A6EAF">
        <w:rPr>
          <w:rFonts w:asciiTheme="minorHAnsi" w:hAnsiTheme="minorHAnsi" w:cs="Arial"/>
          <w:sz w:val="21"/>
          <w:szCs w:val="21"/>
        </w:rPr>
        <w:t>t</w:t>
      </w:r>
      <w:r w:rsidR="006A6EAF" w:rsidRPr="006A6EAF">
        <w:rPr>
          <w:rFonts w:asciiTheme="minorHAnsi" w:hAnsiTheme="minorHAnsi" w:cs="Arial"/>
          <w:sz w:val="21"/>
          <w:szCs w:val="21"/>
        </w:rPr>
        <w:t>his</w:t>
      </w:r>
      <w:r w:rsidR="006A6EAF">
        <w:rPr>
          <w:rFonts w:asciiTheme="minorHAnsi" w:hAnsiTheme="minorHAnsi" w:cs="Arial"/>
          <w:sz w:val="21"/>
          <w:szCs w:val="21"/>
        </w:rPr>
        <w:t xml:space="preserve"> is a particular concern in land law, where those past transactions (eg the purchase of land) are often very significant. In addition, as noted at </w:t>
      </w:r>
      <w:r w:rsidR="006A6EAF">
        <w:rPr>
          <w:rFonts w:asciiTheme="minorHAnsi" w:hAnsiTheme="minorHAnsi" w:cs="Arial"/>
          <w:b/>
          <w:sz w:val="21"/>
          <w:szCs w:val="21"/>
        </w:rPr>
        <w:t>12.20</w:t>
      </w:r>
      <w:r w:rsidR="006A6EAF">
        <w:rPr>
          <w:rFonts w:asciiTheme="minorHAnsi" w:hAnsiTheme="minorHAnsi" w:cs="Arial"/>
          <w:sz w:val="21"/>
          <w:szCs w:val="21"/>
        </w:rPr>
        <w:t>, Parliament can come up with a specific, tailored solution to a particular problem, making a number of linked changes at the same time.</w:t>
      </w:r>
    </w:p>
    <w:p w14:paraId="19273661" w14:textId="105DE894" w:rsidR="006A6EAF" w:rsidRDefault="006A6EAF" w:rsidP="005207F5">
      <w:pPr>
        <w:spacing w:after="0" w:line="240" w:lineRule="auto"/>
        <w:jc w:val="both"/>
        <w:rPr>
          <w:rFonts w:asciiTheme="minorHAnsi" w:hAnsiTheme="minorHAnsi" w:cs="Arial"/>
          <w:sz w:val="21"/>
          <w:szCs w:val="21"/>
        </w:rPr>
      </w:pPr>
    </w:p>
    <w:p w14:paraId="7DB03839" w14:textId="2C578A92" w:rsidR="006A6EAF" w:rsidRDefault="006A6EAF" w:rsidP="008919D0">
      <w:pPr>
        <w:spacing w:after="0" w:line="240" w:lineRule="auto"/>
        <w:jc w:val="both"/>
        <w:rPr>
          <w:rFonts w:asciiTheme="minorHAnsi" w:hAnsiTheme="minorHAnsi" w:cs="Arial"/>
          <w:sz w:val="21"/>
          <w:szCs w:val="21"/>
        </w:rPr>
      </w:pPr>
      <w:r>
        <w:rPr>
          <w:rFonts w:asciiTheme="minorHAnsi" w:hAnsiTheme="minorHAnsi" w:cs="Arial"/>
          <w:sz w:val="21"/>
          <w:szCs w:val="21"/>
        </w:rPr>
        <w:t xml:space="preserve">One concern with legislative reform is, simply, that it may not happen. As discussed at </w:t>
      </w:r>
      <w:r>
        <w:rPr>
          <w:rFonts w:asciiTheme="minorHAnsi" w:hAnsiTheme="minorHAnsi" w:cs="Arial"/>
          <w:b/>
          <w:sz w:val="21"/>
          <w:szCs w:val="21"/>
        </w:rPr>
        <w:t>12.22</w:t>
      </w:r>
      <w:r>
        <w:rPr>
          <w:rFonts w:asciiTheme="minorHAnsi" w:hAnsiTheme="minorHAnsi" w:cs="Arial"/>
          <w:sz w:val="21"/>
          <w:szCs w:val="21"/>
        </w:rPr>
        <w:t xml:space="preserve">, for example, even if the Law Commission </w:t>
      </w:r>
      <w:r w:rsidR="005E09C0">
        <w:rPr>
          <w:rFonts w:asciiTheme="minorHAnsi" w:hAnsiTheme="minorHAnsi" w:cs="Arial"/>
          <w:sz w:val="21"/>
          <w:szCs w:val="21"/>
        </w:rPr>
        <w:t xml:space="preserve">recommends particular reform, the government may decide not to act. As discussed at </w:t>
      </w:r>
      <w:r w:rsidR="005E09C0">
        <w:rPr>
          <w:rFonts w:asciiTheme="minorHAnsi" w:hAnsiTheme="minorHAnsi" w:cs="Arial"/>
          <w:b/>
          <w:sz w:val="21"/>
          <w:szCs w:val="21"/>
        </w:rPr>
        <w:t>12.27-</w:t>
      </w:r>
      <w:r w:rsidR="008919D0">
        <w:rPr>
          <w:rFonts w:asciiTheme="minorHAnsi" w:hAnsiTheme="minorHAnsi" w:cs="Arial"/>
          <w:b/>
          <w:sz w:val="21"/>
          <w:szCs w:val="21"/>
        </w:rPr>
        <w:t>12.32</w:t>
      </w:r>
      <w:r w:rsidR="008919D0">
        <w:rPr>
          <w:rFonts w:asciiTheme="minorHAnsi" w:hAnsiTheme="minorHAnsi" w:cs="Arial"/>
          <w:sz w:val="21"/>
          <w:szCs w:val="21"/>
        </w:rPr>
        <w:t xml:space="preserve">, a further difficulty is that judges applying the legislation may develop it unexpected ways. It is impossible for legislation to deal with all possible situations which may arise in the future, and this gives space for such judicial interpretation. </w:t>
      </w:r>
    </w:p>
    <w:p w14:paraId="1DA5FA74" w14:textId="77777777" w:rsidR="005207F5" w:rsidRPr="0082412E" w:rsidRDefault="005207F5" w:rsidP="005207F5">
      <w:pPr>
        <w:spacing w:after="0" w:line="240" w:lineRule="auto"/>
        <w:jc w:val="both"/>
        <w:rPr>
          <w:rFonts w:asciiTheme="minorHAnsi" w:hAnsiTheme="minorHAnsi" w:cs="Arial"/>
          <w:b/>
          <w:sz w:val="21"/>
          <w:szCs w:val="21"/>
        </w:rPr>
      </w:pPr>
    </w:p>
    <w:p w14:paraId="3C030004" w14:textId="0273DE89" w:rsidR="00795A73" w:rsidRDefault="005207F5" w:rsidP="005207F5">
      <w:pPr>
        <w:spacing w:after="0" w:line="240" w:lineRule="auto"/>
        <w:jc w:val="both"/>
        <w:rPr>
          <w:rFonts w:asciiTheme="minorHAnsi" w:hAnsiTheme="minorHAnsi" w:cs="Arial"/>
          <w:b/>
          <w:sz w:val="21"/>
          <w:szCs w:val="21"/>
        </w:rPr>
      </w:pPr>
      <w:r w:rsidRPr="0082412E">
        <w:rPr>
          <w:rFonts w:asciiTheme="minorHAnsi" w:hAnsiTheme="minorHAnsi" w:cs="Arial"/>
          <w:b/>
          <w:sz w:val="21"/>
          <w:szCs w:val="21"/>
        </w:rPr>
        <w:t xml:space="preserve">Question </w:t>
      </w:r>
      <w:r w:rsidR="00795A73">
        <w:rPr>
          <w:rFonts w:asciiTheme="minorHAnsi" w:hAnsiTheme="minorHAnsi" w:cs="Arial"/>
          <w:b/>
          <w:sz w:val="21"/>
          <w:szCs w:val="21"/>
        </w:rPr>
        <w:t>5</w:t>
      </w:r>
      <w:r w:rsidRPr="0082412E">
        <w:rPr>
          <w:rFonts w:asciiTheme="minorHAnsi" w:hAnsiTheme="minorHAnsi" w:cs="Arial"/>
          <w:b/>
          <w:sz w:val="21"/>
          <w:szCs w:val="21"/>
        </w:rPr>
        <w:t xml:space="preserve">: </w:t>
      </w:r>
      <w:r w:rsidR="002F7E37">
        <w:rPr>
          <w:rFonts w:asciiTheme="minorHAnsi" w:hAnsiTheme="minorHAnsi" w:cs="Arial"/>
          <w:b/>
          <w:sz w:val="21"/>
          <w:szCs w:val="21"/>
        </w:rPr>
        <w:t>Wh</w:t>
      </w:r>
      <w:r w:rsidR="009442C4">
        <w:rPr>
          <w:rFonts w:asciiTheme="minorHAnsi" w:hAnsiTheme="minorHAnsi" w:cs="Arial"/>
          <w:b/>
          <w:sz w:val="21"/>
          <w:szCs w:val="21"/>
        </w:rPr>
        <w:t xml:space="preserve">ich area or areas of land law do you think are most in need of reform? How should such reform take place? </w:t>
      </w:r>
    </w:p>
    <w:p w14:paraId="322CD675" w14:textId="77777777" w:rsidR="009442C4" w:rsidRDefault="009442C4" w:rsidP="005207F5">
      <w:pPr>
        <w:spacing w:after="0" w:line="240" w:lineRule="auto"/>
        <w:jc w:val="both"/>
        <w:rPr>
          <w:rFonts w:asciiTheme="minorHAnsi" w:hAnsiTheme="minorHAnsi" w:cs="Arial"/>
          <w:b/>
          <w:sz w:val="21"/>
          <w:szCs w:val="21"/>
        </w:rPr>
      </w:pPr>
    </w:p>
    <w:p w14:paraId="513B9A14" w14:textId="1930D539" w:rsidR="00122D08" w:rsidRPr="002E5D50" w:rsidRDefault="00FF57B3" w:rsidP="002E5D50">
      <w:pPr>
        <w:pStyle w:val="PlainText"/>
        <w:spacing w:after="0" w:line="240" w:lineRule="auto"/>
        <w:jc w:val="both"/>
        <w:rPr>
          <w:rFonts w:asciiTheme="minorHAnsi" w:hAnsiTheme="minorHAnsi" w:cs="Arial"/>
          <w:sz w:val="21"/>
          <w:szCs w:val="21"/>
        </w:rPr>
      </w:pPr>
      <w:r>
        <w:rPr>
          <w:rFonts w:asciiTheme="minorHAnsi" w:hAnsiTheme="minorHAnsi" w:cs="Arial"/>
          <w:sz w:val="21"/>
          <w:szCs w:val="21"/>
        </w:rPr>
        <w:t xml:space="preserve">This is of course a big question! Throughout the book we have focused on setting out clearly the current rules applying in particular areas of land law and have also discussed some of the arguments for reform of those rules. </w:t>
      </w:r>
      <w:r w:rsidR="00C33139">
        <w:rPr>
          <w:rFonts w:asciiTheme="minorHAnsi" w:hAnsiTheme="minorHAnsi" w:cs="Arial"/>
          <w:sz w:val="21"/>
          <w:szCs w:val="21"/>
        </w:rPr>
        <w:t xml:space="preserve">It is also important to think about </w:t>
      </w:r>
      <w:r w:rsidR="00C33139">
        <w:rPr>
          <w:rFonts w:asciiTheme="minorHAnsi" w:hAnsiTheme="minorHAnsi" w:cs="Arial"/>
          <w:i/>
          <w:sz w:val="21"/>
          <w:szCs w:val="21"/>
        </w:rPr>
        <w:t xml:space="preserve">how </w:t>
      </w:r>
      <w:r w:rsidR="00C33139">
        <w:rPr>
          <w:rFonts w:asciiTheme="minorHAnsi" w:hAnsiTheme="minorHAnsi" w:cs="Arial"/>
          <w:sz w:val="21"/>
          <w:szCs w:val="21"/>
        </w:rPr>
        <w:t xml:space="preserve">reforms should occur. </w:t>
      </w:r>
      <w:r>
        <w:rPr>
          <w:rFonts w:asciiTheme="minorHAnsi" w:hAnsiTheme="minorHAnsi" w:cs="Arial"/>
          <w:sz w:val="21"/>
          <w:szCs w:val="21"/>
        </w:rPr>
        <w:t>We have seen areas where there have been important judicial reforms (eg in relation to the common intention constructive trust</w:t>
      </w:r>
      <w:r w:rsidR="00C33139">
        <w:rPr>
          <w:rFonts w:asciiTheme="minorHAnsi" w:hAnsiTheme="minorHAnsi" w:cs="Arial"/>
          <w:sz w:val="21"/>
          <w:szCs w:val="21"/>
        </w:rPr>
        <w:t>,</w:t>
      </w:r>
      <w:r>
        <w:rPr>
          <w:rFonts w:asciiTheme="minorHAnsi" w:hAnsiTheme="minorHAnsi" w:cs="Arial"/>
          <w:sz w:val="21"/>
          <w:szCs w:val="21"/>
        </w:rPr>
        <w:t xml:space="preserve"> and </w:t>
      </w:r>
      <w:r w:rsidR="00C33139">
        <w:rPr>
          <w:rFonts w:asciiTheme="minorHAnsi" w:hAnsiTheme="minorHAnsi" w:cs="Arial"/>
          <w:sz w:val="21"/>
          <w:szCs w:val="21"/>
        </w:rPr>
        <w:t xml:space="preserve">also </w:t>
      </w:r>
      <w:r>
        <w:rPr>
          <w:rFonts w:asciiTheme="minorHAnsi" w:hAnsiTheme="minorHAnsi" w:cs="Arial"/>
          <w:sz w:val="21"/>
          <w:szCs w:val="21"/>
        </w:rPr>
        <w:t>proprietary estoppel</w:t>
      </w:r>
      <w:r w:rsidR="00C33139">
        <w:rPr>
          <w:rFonts w:asciiTheme="minorHAnsi" w:hAnsiTheme="minorHAnsi" w:cs="Arial"/>
          <w:sz w:val="21"/>
          <w:szCs w:val="21"/>
        </w:rPr>
        <w:t>,</w:t>
      </w:r>
      <w:r>
        <w:rPr>
          <w:rFonts w:asciiTheme="minorHAnsi" w:hAnsiTheme="minorHAnsi" w:cs="Arial"/>
          <w:sz w:val="21"/>
          <w:szCs w:val="21"/>
        </w:rPr>
        <w:t xml:space="preserve"> in Chapter 5, and in relation to the content requirements for leases in Chapter 7 and for easements in Chapter 9) and also important legislative reforms (eg the Human Rights Act 1998 in Chapter 2, the Land Registration Act 2002 in Chapters 4 and 11, and the Landlord </w:t>
      </w:r>
      <w:r w:rsidR="001D1907">
        <w:rPr>
          <w:rFonts w:asciiTheme="minorHAnsi" w:hAnsiTheme="minorHAnsi" w:cs="Arial"/>
          <w:sz w:val="21"/>
          <w:szCs w:val="21"/>
        </w:rPr>
        <w:t xml:space="preserve">and </w:t>
      </w:r>
      <w:r>
        <w:rPr>
          <w:rFonts w:asciiTheme="minorHAnsi" w:hAnsiTheme="minorHAnsi" w:cs="Arial"/>
          <w:sz w:val="21"/>
          <w:szCs w:val="21"/>
        </w:rPr>
        <w:t>Tenant</w:t>
      </w:r>
      <w:r w:rsidR="001D1907">
        <w:rPr>
          <w:rFonts w:asciiTheme="minorHAnsi" w:hAnsiTheme="minorHAnsi" w:cs="Arial"/>
          <w:sz w:val="21"/>
          <w:szCs w:val="21"/>
        </w:rPr>
        <w:t xml:space="preserve"> (Covenants) Act 1995</w:t>
      </w:r>
      <w:r w:rsidR="00C33139">
        <w:rPr>
          <w:rFonts w:asciiTheme="minorHAnsi" w:hAnsiTheme="minorHAnsi" w:cs="Arial"/>
          <w:sz w:val="21"/>
          <w:szCs w:val="21"/>
        </w:rPr>
        <w:t xml:space="preserve"> in Chapter 7</w:t>
      </w:r>
      <w:r w:rsidR="001D1907">
        <w:rPr>
          <w:rFonts w:asciiTheme="minorHAnsi" w:hAnsiTheme="minorHAnsi" w:cs="Arial"/>
          <w:sz w:val="21"/>
          <w:szCs w:val="21"/>
        </w:rPr>
        <w:t xml:space="preserve">). It is also worth keeping an eye on the completed and ongoing projects of the Law Commission in relation to land law (see </w:t>
      </w:r>
      <w:hyperlink r:id="rId7" w:history="1">
        <w:r w:rsidR="00AA360F" w:rsidRPr="00C26C91">
          <w:rPr>
            <w:rStyle w:val="Hyperlink"/>
            <w:rFonts w:asciiTheme="minorHAnsi" w:hAnsiTheme="minorHAnsi" w:cs="Arial"/>
            <w:sz w:val="21"/>
            <w:szCs w:val="21"/>
          </w:rPr>
          <w:t>www.lawcom.gov.uk</w:t>
        </w:r>
      </w:hyperlink>
      <w:r w:rsidR="00AA360F">
        <w:rPr>
          <w:rFonts w:asciiTheme="minorHAnsi" w:hAnsiTheme="minorHAnsi" w:cs="Arial"/>
          <w:sz w:val="21"/>
          <w:szCs w:val="21"/>
        </w:rPr>
        <w:t xml:space="preserve">) </w:t>
      </w:r>
      <w:r w:rsidR="00E31EBB">
        <w:rPr>
          <w:rFonts w:asciiTheme="minorHAnsi" w:hAnsiTheme="minorHAnsi" w:cs="Arial"/>
          <w:sz w:val="21"/>
          <w:szCs w:val="21"/>
        </w:rPr>
        <w:t xml:space="preserve">as these indicate areas in which reform is planned, such as updating the Land Registration Act 2002. We noted at </w:t>
      </w:r>
      <w:r w:rsidR="00E31EBB">
        <w:rPr>
          <w:rFonts w:asciiTheme="minorHAnsi" w:hAnsiTheme="minorHAnsi" w:cs="Arial"/>
          <w:b/>
          <w:sz w:val="21"/>
          <w:szCs w:val="21"/>
        </w:rPr>
        <w:t>1.48</w:t>
      </w:r>
      <w:r w:rsidR="001D1907">
        <w:rPr>
          <w:rFonts w:asciiTheme="minorHAnsi" w:hAnsiTheme="minorHAnsi" w:cs="Arial"/>
          <w:sz w:val="21"/>
          <w:szCs w:val="21"/>
        </w:rPr>
        <w:t xml:space="preserve"> </w:t>
      </w:r>
      <w:r w:rsidR="00E31EBB">
        <w:rPr>
          <w:rFonts w:asciiTheme="minorHAnsi" w:hAnsiTheme="minorHAnsi" w:cs="Arial"/>
          <w:sz w:val="21"/>
          <w:szCs w:val="21"/>
        </w:rPr>
        <w:t xml:space="preserve">that, when introducing part of what was to become the great 1925 property legislation, Lord Birkenhead recalled how, </w:t>
      </w:r>
      <w:r w:rsidR="00C33139">
        <w:rPr>
          <w:rFonts w:asciiTheme="minorHAnsi" w:hAnsiTheme="minorHAnsi" w:cs="Arial"/>
          <w:sz w:val="21"/>
          <w:szCs w:val="21"/>
        </w:rPr>
        <w:t>as a law student</w:t>
      </w:r>
      <w:r w:rsidR="00E31EBB">
        <w:rPr>
          <w:rFonts w:asciiTheme="minorHAnsi" w:hAnsiTheme="minorHAnsi" w:cs="Arial"/>
          <w:sz w:val="21"/>
          <w:szCs w:val="21"/>
        </w:rPr>
        <w:t>, he had been appalled at the complexity of the rules on estates and had resolved to reform them</w:t>
      </w:r>
      <w:r w:rsidR="00C34683">
        <w:rPr>
          <w:rFonts w:asciiTheme="minorHAnsi" w:hAnsiTheme="minorHAnsi" w:cs="Arial"/>
          <w:sz w:val="21"/>
          <w:szCs w:val="21"/>
        </w:rPr>
        <w:t xml:space="preserve"> (see </w:t>
      </w:r>
      <w:hyperlink r:id="rId8" w:history="1">
        <w:r w:rsidR="00C34683" w:rsidRPr="00C26C91">
          <w:rPr>
            <w:rStyle w:val="Hyperlink"/>
            <w:rFonts w:asciiTheme="minorHAnsi" w:hAnsiTheme="minorHAnsi" w:cs="Arial"/>
            <w:sz w:val="21"/>
            <w:szCs w:val="21"/>
          </w:rPr>
          <w:t>https://bit.ly/2R82xtt</w:t>
        </w:r>
      </w:hyperlink>
      <w:r w:rsidR="00C34683">
        <w:rPr>
          <w:rFonts w:asciiTheme="minorHAnsi" w:hAnsiTheme="minorHAnsi" w:cs="Arial"/>
          <w:sz w:val="21"/>
          <w:szCs w:val="21"/>
        </w:rPr>
        <w:t>)</w:t>
      </w:r>
      <w:r w:rsidR="00C33139">
        <w:rPr>
          <w:rFonts w:asciiTheme="minorHAnsi" w:hAnsiTheme="minorHAnsi" w:cs="Arial"/>
          <w:sz w:val="21"/>
          <w:szCs w:val="21"/>
        </w:rPr>
        <w:t xml:space="preserve">. </w:t>
      </w:r>
      <w:r w:rsidR="00C34683">
        <w:rPr>
          <w:rFonts w:asciiTheme="minorHAnsi" w:hAnsiTheme="minorHAnsi" w:cs="Arial"/>
          <w:sz w:val="21"/>
          <w:szCs w:val="21"/>
        </w:rPr>
        <w:t xml:space="preserve"> </w:t>
      </w:r>
      <w:r w:rsidR="00C33139">
        <w:rPr>
          <w:rFonts w:asciiTheme="minorHAnsi" w:hAnsiTheme="minorHAnsi" w:cs="Arial"/>
          <w:sz w:val="21"/>
          <w:szCs w:val="21"/>
        </w:rPr>
        <w:t>P</w:t>
      </w:r>
      <w:r w:rsidR="00E31EBB">
        <w:rPr>
          <w:rFonts w:asciiTheme="minorHAnsi" w:hAnsiTheme="minorHAnsi" w:cs="Arial"/>
          <w:sz w:val="21"/>
          <w:szCs w:val="21"/>
        </w:rPr>
        <w:t>erhaps there is part of modern land law that similarly motivates you?</w:t>
      </w:r>
    </w:p>
    <w:sectPr w:rsidR="00122D08" w:rsidRPr="002E5D50" w:rsidSect="00695554">
      <w:headerReference w:type="default" r:id="rId9"/>
      <w:footerReference w:type="default" r:id="rId10"/>
      <w:pgSz w:w="11906" w:h="16838"/>
      <w:pgMar w:top="1440" w:right="1152" w:bottom="156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2CEB" w14:textId="77777777" w:rsidR="005F07B8" w:rsidRDefault="005F07B8">
      <w:r>
        <w:separator/>
      </w:r>
    </w:p>
  </w:endnote>
  <w:endnote w:type="continuationSeparator" w:id="0">
    <w:p w14:paraId="04B76A50" w14:textId="77777777" w:rsidR="005F07B8" w:rsidRDefault="005F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3FA" w14:textId="77777777" w:rsidR="008A7600" w:rsidRPr="002E5D50" w:rsidRDefault="002E5D50" w:rsidP="002E5D50">
    <w:pPr>
      <w:pStyle w:val="Footer"/>
      <w:jc w:val="right"/>
      <w:rPr>
        <w:rFonts w:asciiTheme="minorHAnsi" w:hAnsiTheme="minorHAnsi"/>
        <w:color w:val="808080"/>
        <w:sz w:val="20"/>
        <w:szCs w:val="20"/>
      </w:rPr>
    </w:pPr>
    <w:r>
      <w:rPr>
        <w:rFonts w:asciiTheme="minorHAnsi" w:hAnsiTheme="minorHAnsi"/>
        <w:noProof/>
        <w:color w:val="808080"/>
        <w:sz w:val="20"/>
        <w:szCs w:val="20"/>
        <w:lang w:val="en-US"/>
      </w:rPr>
      <w:drawing>
        <wp:inline distT="0" distB="0" distL="0" distR="0" wp14:anchorId="694E81C9" wp14:editId="03D5FD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24ADFA4" w14:textId="0DB8EB30" w:rsidR="00BC0487" w:rsidRPr="002E5D50" w:rsidRDefault="008A7600" w:rsidP="002E5D50">
    <w:pPr>
      <w:pStyle w:val="Footer"/>
      <w:rPr>
        <w:rFonts w:asciiTheme="minorHAnsi" w:hAnsiTheme="minorHAnsi"/>
        <w:color w:val="808080"/>
        <w:sz w:val="20"/>
        <w:szCs w:val="20"/>
      </w:rPr>
    </w:pPr>
    <w:r w:rsidRPr="002E5D50">
      <w:rPr>
        <w:rFonts w:asciiTheme="minorHAnsi" w:hAnsiTheme="minorHAnsi"/>
        <w:color w:val="808080"/>
        <w:sz w:val="20"/>
        <w:szCs w:val="20"/>
      </w:rPr>
      <w:t xml:space="preserve">© </w:t>
    </w:r>
    <w:r w:rsidR="002E5D50" w:rsidRPr="002E5D50">
      <w:rPr>
        <w:rFonts w:asciiTheme="minorHAnsi" w:hAnsiTheme="minorHAnsi"/>
        <w:color w:val="808080"/>
        <w:sz w:val="20"/>
        <w:szCs w:val="20"/>
      </w:rPr>
      <w:t>B McFarlane, SA Nield</w:t>
    </w:r>
    <w:r w:rsidRPr="002E5D50">
      <w:rPr>
        <w:rFonts w:asciiTheme="minorHAnsi" w:hAnsiTheme="minorHAnsi"/>
        <w:color w:val="808080"/>
        <w:sz w:val="20"/>
        <w:szCs w:val="20"/>
      </w:rPr>
      <w:t>, 20</w:t>
    </w:r>
    <w:r w:rsidR="00531F5B">
      <w:rPr>
        <w:rFonts w:asciiTheme="minorHAnsi" w:hAnsiTheme="minorHAnsi"/>
        <w:color w:val="808080"/>
        <w:sz w:val="20"/>
        <w:szCs w:val="20"/>
      </w:rPr>
      <w:t>20</w:t>
    </w:r>
    <w:r w:rsidRPr="002E5D50">
      <w:rPr>
        <w:rFonts w:asciiTheme="minorHAnsi" w:hAnsiTheme="minorHAnsi"/>
        <w:color w:val="808080"/>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8CB9" w14:textId="77777777" w:rsidR="005F07B8" w:rsidRDefault="005F07B8">
      <w:r>
        <w:separator/>
      </w:r>
    </w:p>
  </w:footnote>
  <w:footnote w:type="continuationSeparator" w:id="0">
    <w:p w14:paraId="200B2D27" w14:textId="77777777" w:rsidR="005F07B8" w:rsidRDefault="005F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7541" w14:textId="77777777" w:rsidR="002E5D50" w:rsidRDefault="00BC0487" w:rsidP="002E5D50">
    <w:pPr>
      <w:pStyle w:val="Header"/>
      <w:spacing w:after="0" w:line="240" w:lineRule="auto"/>
      <w:jc w:val="center"/>
      <w:rPr>
        <w:rFonts w:asciiTheme="minorHAnsi" w:hAnsiTheme="minorHAnsi" w:cs="Arial"/>
        <w:color w:val="808080"/>
        <w:sz w:val="20"/>
        <w:szCs w:val="24"/>
      </w:rPr>
    </w:pPr>
    <w:r w:rsidRPr="002E5D50">
      <w:rPr>
        <w:rFonts w:asciiTheme="minorHAnsi" w:hAnsiTheme="minorHAnsi" w:cs="Arial"/>
        <w:color w:val="808080"/>
        <w:sz w:val="20"/>
        <w:szCs w:val="24"/>
      </w:rPr>
      <w:t xml:space="preserve">McFarlane, Hopkins &amp; Nield: </w:t>
    </w:r>
    <w:r w:rsidR="00AA1A92">
      <w:rPr>
        <w:rFonts w:asciiTheme="minorHAnsi" w:hAnsiTheme="minorHAnsi" w:cs="Arial"/>
        <w:i/>
        <w:color w:val="808080"/>
        <w:sz w:val="20"/>
        <w:szCs w:val="24"/>
      </w:rPr>
      <w:t xml:space="preserve">Core Text: </w:t>
    </w:r>
    <w:r w:rsidRPr="002E5D50">
      <w:rPr>
        <w:rFonts w:asciiTheme="minorHAnsi" w:hAnsiTheme="minorHAnsi" w:cs="Arial"/>
        <w:i/>
        <w:color w:val="808080"/>
        <w:sz w:val="20"/>
        <w:szCs w:val="24"/>
      </w:rPr>
      <w:t>Land Law</w:t>
    </w:r>
    <w:r w:rsidR="00AA1A92">
      <w:rPr>
        <w:rFonts w:asciiTheme="minorHAnsi" w:hAnsiTheme="minorHAnsi" w:cs="Arial"/>
        <w:i/>
        <w:color w:val="808080"/>
        <w:sz w:val="20"/>
        <w:szCs w:val="24"/>
      </w:rPr>
      <w:t xml:space="preserve"> </w:t>
    </w:r>
    <w:r w:rsidR="00AA1A92">
      <w:rPr>
        <w:rFonts w:asciiTheme="minorHAnsi" w:hAnsiTheme="minorHAnsi" w:cs="Arial"/>
        <w:color w:val="808080"/>
        <w:sz w:val="20"/>
        <w:szCs w:val="24"/>
      </w:rPr>
      <w:t>2</w:t>
    </w:r>
    <w:r w:rsidR="00AA1A92" w:rsidRPr="00AA1A92">
      <w:rPr>
        <w:rFonts w:asciiTheme="minorHAnsi" w:hAnsiTheme="minorHAnsi" w:cs="Arial"/>
        <w:color w:val="808080"/>
        <w:sz w:val="20"/>
        <w:szCs w:val="24"/>
        <w:vertAlign w:val="superscript"/>
      </w:rPr>
      <w:t>nd</w:t>
    </w:r>
    <w:r w:rsidR="00AA1A92">
      <w:rPr>
        <w:rFonts w:asciiTheme="minorHAnsi" w:hAnsiTheme="minorHAnsi" w:cs="Arial"/>
        <w:color w:val="808080"/>
        <w:sz w:val="20"/>
        <w:szCs w:val="24"/>
      </w:rPr>
      <w:t xml:space="preserve"> </w:t>
    </w:r>
    <w:r w:rsidR="002E5D50">
      <w:rPr>
        <w:rFonts w:asciiTheme="minorHAnsi" w:hAnsiTheme="minorHAnsi" w:cs="Arial"/>
        <w:color w:val="808080"/>
        <w:sz w:val="20"/>
        <w:szCs w:val="24"/>
      </w:rPr>
      <w:t>edition</w:t>
    </w:r>
  </w:p>
  <w:p w14:paraId="273D1036" w14:textId="77777777" w:rsidR="00BC0487" w:rsidRPr="002E5D50" w:rsidRDefault="002E5D50" w:rsidP="002E5D50">
    <w:pPr>
      <w:pStyle w:val="Header"/>
      <w:spacing w:after="0" w:line="240" w:lineRule="auto"/>
      <w:jc w:val="center"/>
      <w:rPr>
        <w:rFonts w:asciiTheme="minorHAnsi" w:hAnsiTheme="minorHAnsi" w:cs="Arial"/>
        <w:color w:val="808080"/>
        <w:sz w:val="20"/>
        <w:szCs w:val="24"/>
      </w:rPr>
    </w:pPr>
    <w:r>
      <w:rPr>
        <w:rFonts w:asciiTheme="minorHAnsi" w:hAnsiTheme="minorHAnsi" w:cs="Arial"/>
        <w:color w:val="808080"/>
        <w:sz w:val="20"/>
        <w:szCs w:val="24"/>
      </w:rPr>
      <w:t>Answer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74F"/>
    <w:multiLevelType w:val="hybridMultilevel"/>
    <w:tmpl w:val="0FEC1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C104B2"/>
    <w:multiLevelType w:val="hybridMultilevel"/>
    <w:tmpl w:val="7E44673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36363858">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3B3655"/>
    <w:multiLevelType w:val="hybridMultilevel"/>
    <w:tmpl w:val="F698CC32"/>
    <w:lvl w:ilvl="0" w:tplc="19D2D0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D2B3B"/>
    <w:multiLevelType w:val="hybridMultilevel"/>
    <w:tmpl w:val="0160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107D4"/>
    <w:multiLevelType w:val="hybridMultilevel"/>
    <w:tmpl w:val="FB848542"/>
    <w:lvl w:ilvl="0" w:tplc="2D58DC92">
      <w:numFmt w:val="bullet"/>
      <w:lvlText w:val="-"/>
      <w:lvlJc w:val="left"/>
      <w:pPr>
        <w:ind w:left="720" w:hanging="360"/>
      </w:pPr>
      <w:rPr>
        <w:rFonts w:ascii="Calibri" w:eastAsiaTheme="minorHAnsi" w:hAnsi="Calibri" w:cstheme="minorBidi" w:hint="default"/>
      </w:rPr>
    </w:lvl>
    <w:lvl w:ilvl="1" w:tplc="2D58DC9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B7AC0"/>
    <w:multiLevelType w:val="hybridMultilevel"/>
    <w:tmpl w:val="5364AB9E"/>
    <w:lvl w:ilvl="0" w:tplc="044E8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60ADD"/>
    <w:multiLevelType w:val="hybridMultilevel"/>
    <w:tmpl w:val="C41E4466"/>
    <w:lvl w:ilvl="0" w:tplc="C4A8D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62B0C"/>
    <w:multiLevelType w:val="hybridMultilevel"/>
    <w:tmpl w:val="1B5877DA"/>
    <w:lvl w:ilvl="0" w:tplc="40464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3203E"/>
    <w:multiLevelType w:val="hybridMultilevel"/>
    <w:tmpl w:val="9F52A866"/>
    <w:lvl w:ilvl="0" w:tplc="4ECE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71A2"/>
    <w:multiLevelType w:val="hybridMultilevel"/>
    <w:tmpl w:val="A4CE167A"/>
    <w:lvl w:ilvl="0" w:tplc="BDA8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A92558"/>
    <w:multiLevelType w:val="hybridMultilevel"/>
    <w:tmpl w:val="B414C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2D1E8B"/>
    <w:multiLevelType w:val="hybridMultilevel"/>
    <w:tmpl w:val="A2DA148E"/>
    <w:lvl w:ilvl="0" w:tplc="6EF2B6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3820FE4"/>
    <w:multiLevelType w:val="hybridMultilevel"/>
    <w:tmpl w:val="969A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9B22FA"/>
    <w:multiLevelType w:val="hybridMultilevel"/>
    <w:tmpl w:val="FD02F5C6"/>
    <w:lvl w:ilvl="0" w:tplc="DC0A09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665F6"/>
    <w:multiLevelType w:val="hybridMultilevel"/>
    <w:tmpl w:val="31A84FC8"/>
    <w:lvl w:ilvl="0" w:tplc="3A3A1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12"/>
  </w:num>
  <w:num w:numId="4">
    <w:abstractNumId w:val="7"/>
  </w:num>
  <w:num w:numId="5">
    <w:abstractNumId w:val="14"/>
  </w:num>
  <w:num w:numId="6">
    <w:abstractNumId w:val="2"/>
  </w:num>
  <w:num w:numId="7">
    <w:abstractNumId w:val="11"/>
  </w:num>
  <w:num w:numId="8">
    <w:abstractNumId w:val="5"/>
  </w:num>
  <w:num w:numId="9">
    <w:abstractNumId w:val="6"/>
  </w:num>
  <w:num w:numId="10">
    <w:abstractNumId w:val="9"/>
  </w:num>
  <w:num w:numId="11">
    <w:abstractNumId w:val="10"/>
  </w:num>
  <w:num w:numId="12">
    <w:abstractNumId w:val="4"/>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12A03"/>
    <w:rsid w:val="000150D5"/>
    <w:rsid w:val="000230AF"/>
    <w:rsid w:val="000631DA"/>
    <w:rsid w:val="00097F0A"/>
    <w:rsid w:val="000A6413"/>
    <w:rsid w:val="000A7DE5"/>
    <w:rsid w:val="000B019A"/>
    <w:rsid w:val="000B5A13"/>
    <w:rsid w:val="000D6F31"/>
    <w:rsid w:val="000D77D8"/>
    <w:rsid w:val="000E260E"/>
    <w:rsid w:val="001132E1"/>
    <w:rsid w:val="00120BB1"/>
    <w:rsid w:val="00122D08"/>
    <w:rsid w:val="0015356B"/>
    <w:rsid w:val="001778C3"/>
    <w:rsid w:val="00187B32"/>
    <w:rsid w:val="001A4D9D"/>
    <w:rsid w:val="001A6506"/>
    <w:rsid w:val="001C037F"/>
    <w:rsid w:val="001D1907"/>
    <w:rsid w:val="001E583F"/>
    <w:rsid w:val="001F087F"/>
    <w:rsid w:val="001F4DB9"/>
    <w:rsid w:val="00204F58"/>
    <w:rsid w:val="00214B18"/>
    <w:rsid w:val="00232F9A"/>
    <w:rsid w:val="0025332C"/>
    <w:rsid w:val="0026373E"/>
    <w:rsid w:val="0029507D"/>
    <w:rsid w:val="002A666D"/>
    <w:rsid w:val="002C1084"/>
    <w:rsid w:val="002E5D50"/>
    <w:rsid w:val="002F7E37"/>
    <w:rsid w:val="003038CF"/>
    <w:rsid w:val="003241BF"/>
    <w:rsid w:val="00336F0B"/>
    <w:rsid w:val="003937A8"/>
    <w:rsid w:val="00395582"/>
    <w:rsid w:val="00437217"/>
    <w:rsid w:val="00467390"/>
    <w:rsid w:val="00470134"/>
    <w:rsid w:val="004A2969"/>
    <w:rsid w:val="004B53C6"/>
    <w:rsid w:val="004F1D5B"/>
    <w:rsid w:val="005207F5"/>
    <w:rsid w:val="00531F5B"/>
    <w:rsid w:val="00534E05"/>
    <w:rsid w:val="00554203"/>
    <w:rsid w:val="00595D76"/>
    <w:rsid w:val="005A0009"/>
    <w:rsid w:val="005D2FEB"/>
    <w:rsid w:val="005E09C0"/>
    <w:rsid w:val="005F07B8"/>
    <w:rsid w:val="005F347D"/>
    <w:rsid w:val="00651EF2"/>
    <w:rsid w:val="00667E1F"/>
    <w:rsid w:val="006940C6"/>
    <w:rsid w:val="00695554"/>
    <w:rsid w:val="006A6EAF"/>
    <w:rsid w:val="006B5CAC"/>
    <w:rsid w:val="006E1DD2"/>
    <w:rsid w:val="006E2005"/>
    <w:rsid w:val="006E426E"/>
    <w:rsid w:val="007079A2"/>
    <w:rsid w:val="00727C02"/>
    <w:rsid w:val="00735524"/>
    <w:rsid w:val="00764D7A"/>
    <w:rsid w:val="00775E3F"/>
    <w:rsid w:val="0079517F"/>
    <w:rsid w:val="00795A73"/>
    <w:rsid w:val="007D2BEA"/>
    <w:rsid w:val="00813E96"/>
    <w:rsid w:val="00823CFC"/>
    <w:rsid w:val="00837C74"/>
    <w:rsid w:val="00843397"/>
    <w:rsid w:val="00850126"/>
    <w:rsid w:val="00877DC1"/>
    <w:rsid w:val="008919D0"/>
    <w:rsid w:val="008A7600"/>
    <w:rsid w:val="008D5961"/>
    <w:rsid w:val="008F4590"/>
    <w:rsid w:val="00932532"/>
    <w:rsid w:val="00932BAF"/>
    <w:rsid w:val="009442C4"/>
    <w:rsid w:val="00983ADA"/>
    <w:rsid w:val="009C237B"/>
    <w:rsid w:val="009C6D7F"/>
    <w:rsid w:val="009E00BF"/>
    <w:rsid w:val="00A22434"/>
    <w:rsid w:val="00A238FB"/>
    <w:rsid w:val="00A45C5D"/>
    <w:rsid w:val="00A87F1F"/>
    <w:rsid w:val="00A90EE2"/>
    <w:rsid w:val="00A94811"/>
    <w:rsid w:val="00AA1A92"/>
    <w:rsid w:val="00AA360F"/>
    <w:rsid w:val="00AA6841"/>
    <w:rsid w:val="00AD3291"/>
    <w:rsid w:val="00AD5138"/>
    <w:rsid w:val="00AF5FB4"/>
    <w:rsid w:val="00B057BE"/>
    <w:rsid w:val="00B34F79"/>
    <w:rsid w:val="00B47B26"/>
    <w:rsid w:val="00B602BB"/>
    <w:rsid w:val="00BB2B89"/>
    <w:rsid w:val="00BC0487"/>
    <w:rsid w:val="00BD5749"/>
    <w:rsid w:val="00BF0028"/>
    <w:rsid w:val="00C06623"/>
    <w:rsid w:val="00C138CB"/>
    <w:rsid w:val="00C16D85"/>
    <w:rsid w:val="00C2703F"/>
    <w:rsid w:val="00C33139"/>
    <w:rsid w:val="00C34683"/>
    <w:rsid w:val="00CA1F62"/>
    <w:rsid w:val="00CA77DA"/>
    <w:rsid w:val="00D33391"/>
    <w:rsid w:val="00D61DF2"/>
    <w:rsid w:val="00D65F7F"/>
    <w:rsid w:val="00DF0F11"/>
    <w:rsid w:val="00E24A7F"/>
    <w:rsid w:val="00E31EBB"/>
    <w:rsid w:val="00E602DE"/>
    <w:rsid w:val="00E86406"/>
    <w:rsid w:val="00E91680"/>
    <w:rsid w:val="00EA6782"/>
    <w:rsid w:val="00EC2D12"/>
    <w:rsid w:val="00EE3A5A"/>
    <w:rsid w:val="00EF1460"/>
    <w:rsid w:val="00F0155A"/>
    <w:rsid w:val="00F35606"/>
    <w:rsid w:val="00F44357"/>
    <w:rsid w:val="00F80DAD"/>
    <w:rsid w:val="00FA3284"/>
    <w:rsid w:val="00FE2BB9"/>
    <w:rsid w:val="00FF57B3"/>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A151"/>
  <w15:docId w15:val="{88553330-34A0-B147-AC85-4D0767C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7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documentbody1">
    <w:name w:val="documentbody1"/>
    <w:rsid w:val="00B057BE"/>
    <w:rPr>
      <w:rFonts w:ascii="Verdana" w:hAnsi="Verdana" w:cs="Times New Roman"/>
      <w:sz w:val="19"/>
      <w:szCs w:val="19"/>
    </w:rPr>
  </w:style>
  <w:style w:type="character" w:customStyle="1" w:styleId="FooterChar">
    <w:name w:val="Footer Char"/>
    <w:link w:val="Footer"/>
    <w:rsid w:val="008A7600"/>
    <w:rPr>
      <w:sz w:val="22"/>
      <w:szCs w:val="22"/>
      <w:lang w:eastAsia="en-US"/>
    </w:rPr>
  </w:style>
  <w:style w:type="paragraph" w:styleId="BalloonText">
    <w:name w:val="Balloon Text"/>
    <w:basedOn w:val="Normal"/>
    <w:link w:val="BalloonTextChar"/>
    <w:rsid w:val="002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5D50"/>
    <w:rPr>
      <w:rFonts w:ascii="Tahoma" w:hAnsi="Tahoma" w:cs="Tahoma"/>
      <w:sz w:val="16"/>
      <w:szCs w:val="16"/>
      <w:lang w:val="en-GB"/>
    </w:rPr>
  </w:style>
  <w:style w:type="paragraph" w:styleId="ListParagraph">
    <w:name w:val="List Paragraph"/>
    <w:basedOn w:val="Normal"/>
    <w:uiPriority w:val="34"/>
    <w:qFormat/>
    <w:rsid w:val="00AA1A92"/>
    <w:pPr>
      <w:spacing w:after="0" w:line="240" w:lineRule="auto"/>
      <w:ind w:left="720"/>
      <w:contextualSpacing/>
    </w:pPr>
    <w:rPr>
      <w:rFonts w:eastAsia="SimSun"/>
      <w:sz w:val="24"/>
      <w:szCs w:val="24"/>
      <w:lang w:val="en-US" w:eastAsia="zh-CN"/>
    </w:rPr>
  </w:style>
  <w:style w:type="paragraph" w:customStyle="1" w:styleId="ColorfulList-Accent11">
    <w:name w:val="Colorful List - Accent 11"/>
    <w:basedOn w:val="Normal"/>
    <w:qFormat/>
    <w:rsid w:val="005207F5"/>
    <w:pPr>
      <w:ind w:left="720"/>
      <w:contextualSpacing/>
    </w:pPr>
  </w:style>
  <w:style w:type="character" w:styleId="Hyperlink">
    <w:name w:val="Hyperlink"/>
    <w:basedOn w:val="DefaultParagraphFont"/>
    <w:unhideWhenUsed/>
    <w:rsid w:val="00AA360F"/>
    <w:rPr>
      <w:color w:val="0000FF" w:themeColor="hyperlink"/>
      <w:u w:val="single"/>
    </w:rPr>
  </w:style>
  <w:style w:type="character" w:styleId="UnresolvedMention">
    <w:name w:val="Unresolved Mention"/>
    <w:basedOn w:val="DefaultParagraphFont"/>
    <w:uiPriority w:val="99"/>
    <w:semiHidden/>
    <w:unhideWhenUsed/>
    <w:rsid w:val="00AA360F"/>
    <w:rPr>
      <w:color w:val="605E5C"/>
      <w:shd w:val="clear" w:color="auto" w:fill="E1DFDD"/>
    </w:rPr>
  </w:style>
  <w:style w:type="character" w:styleId="FollowedHyperlink">
    <w:name w:val="FollowedHyperlink"/>
    <w:basedOn w:val="DefaultParagraphFont"/>
    <w:semiHidden/>
    <w:unhideWhenUsed/>
    <w:rsid w:val="00097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R82xtt" TargetMode="External"/><Relationship Id="rId3" Type="http://schemas.openxmlformats.org/officeDocument/2006/relationships/settings" Target="settings.xml"/><Relationship Id="rId7" Type="http://schemas.openxmlformats.org/officeDocument/2006/relationships/hyperlink" Target="http://www.lawcom.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25</cp:revision>
  <dcterms:created xsi:type="dcterms:W3CDTF">2020-04-05T17:06:00Z</dcterms:created>
  <dcterms:modified xsi:type="dcterms:W3CDTF">2020-04-09T12:49:00Z</dcterms:modified>
</cp:coreProperties>
</file>