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3EC50" w14:textId="77777777" w:rsidR="004D1072" w:rsidRDefault="004D1072" w:rsidP="006A5A63">
      <w:pPr>
        <w:pStyle w:val="q"/>
        <w:ind w:left="0" w:firstLine="0"/>
        <w:rPr>
          <w:b/>
          <w:bCs/>
          <w:lang w:val="en-GB"/>
        </w:rPr>
      </w:pPr>
    </w:p>
    <w:p w14:paraId="6FA6231A" w14:textId="44295202" w:rsidR="004D1072" w:rsidRPr="00417933" w:rsidRDefault="004D1072" w:rsidP="00417933">
      <w:pPr>
        <w:pStyle w:val="q"/>
        <w:jc w:val="center"/>
        <w:rPr>
          <w:rFonts w:asciiTheme="minorHAnsi" w:hAnsiTheme="minorHAnsi" w:cstheme="minorHAnsi"/>
          <w:b/>
          <w:bCs/>
          <w:sz w:val="28"/>
          <w:szCs w:val="28"/>
          <w:lang w:val="en-GB"/>
        </w:rPr>
      </w:pPr>
      <w:r w:rsidRPr="00DB09C9">
        <w:rPr>
          <w:rFonts w:asciiTheme="minorHAnsi" w:hAnsiTheme="minorHAnsi" w:cstheme="minorHAnsi"/>
          <w:b/>
          <w:bCs/>
          <w:sz w:val="28"/>
          <w:szCs w:val="28"/>
          <w:lang w:val="en-GB"/>
        </w:rPr>
        <w:t>Chapter 10</w:t>
      </w:r>
    </w:p>
    <w:p w14:paraId="3271F134" w14:textId="5CDE616E" w:rsidR="004D1072" w:rsidRPr="006A5A63" w:rsidRDefault="00417933" w:rsidP="006A5A63">
      <w:pPr>
        <w:pStyle w:val="q"/>
        <w:rPr>
          <w:rFonts w:asciiTheme="minorHAnsi" w:hAnsiTheme="minorHAnsi" w:cstheme="minorHAnsi"/>
          <w:b/>
          <w:bCs/>
          <w:sz w:val="21"/>
          <w:szCs w:val="21"/>
          <w:lang w:val="en-GB"/>
        </w:rPr>
      </w:pPr>
      <w:r>
        <w:rPr>
          <w:rFonts w:asciiTheme="minorHAnsi" w:hAnsiTheme="minorHAnsi" w:cstheme="minorHAnsi"/>
          <w:b/>
          <w:bCs/>
          <w:sz w:val="21"/>
          <w:szCs w:val="21"/>
          <w:lang w:val="en-GB"/>
        </w:rPr>
        <w:t xml:space="preserve">Question 1: </w:t>
      </w:r>
      <w:r w:rsidR="004D1072" w:rsidRPr="006A5A63">
        <w:rPr>
          <w:rFonts w:asciiTheme="minorHAnsi" w:hAnsiTheme="minorHAnsi" w:cstheme="minorHAnsi"/>
          <w:b/>
          <w:bCs/>
          <w:sz w:val="21"/>
          <w:szCs w:val="21"/>
          <w:lang w:val="en-GB"/>
        </w:rPr>
        <w:t>Is there a continuing role for land covenants as a form of private planning control?</w:t>
      </w:r>
    </w:p>
    <w:p w14:paraId="346F62A1" w14:textId="7EE8CB2C" w:rsidR="004D1072" w:rsidRPr="006A5A63" w:rsidRDefault="004D1072" w:rsidP="006A5A63">
      <w:pPr>
        <w:spacing w:after="0" w:line="240" w:lineRule="auto"/>
        <w:rPr>
          <w:rFonts w:cstheme="minorHAnsi"/>
          <w:sz w:val="21"/>
          <w:szCs w:val="21"/>
        </w:rPr>
      </w:pPr>
      <w:r w:rsidRPr="006A5A63">
        <w:rPr>
          <w:rFonts w:cstheme="minorHAnsi"/>
          <w:sz w:val="21"/>
          <w:szCs w:val="21"/>
        </w:rPr>
        <w:t xml:space="preserve">We consider the role of land covenants in </w:t>
      </w:r>
      <w:r w:rsidR="00DF5CB4" w:rsidRPr="006A5A63">
        <w:rPr>
          <w:rFonts w:cstheme="minorHAnsi"/>
          <w:sz w:val="21"/>
          <w:szCs w:val="21"/>
        </w:rPr>
        <w:t>P</w:t>
      </w:r>
      <w:r w:rsidRPr="006A5A63">
        <w:rPr>
          <w:rFonts w:cstheme="minorHAnsi"/>
          <w:sz w:val="21"/>
          <w:szCs w:val="21"/>
        </w:rPr>
        <w:t>ar</w:t>
      </w:r>
      <w:bookmarkStart w:id="0" w:name="_GoBack"/>
      <w:bookmarkEnd w:id="0"/>
      <w:r w:rsidRPr="006A5A63">
        <w:rPr>
          <w:rFonts w:cstheme="minorHAnsi"/>
          <w:sz w:val="21"/>
          <w:szCs w:val="21"/>
        </w:rPr>
        <w:t xml:space="preserve">agraphs 10.1-10.2 and conclude that there is certainly a continuing role for land covenants despite the extensive scope of public planning and building regulation. Land covenants act at the micro level between neighbouring landowners. As such, they can deal with a greater level of detail and encompass a wider variety of concerns that neighbouring owners may wish to address than public planning policy which operates at a macro level. The large number of land covenants that are registered each year at the Land Registry provide evidence of the important role land covenants continue to play. Indeed, it would be unusual to find any residential estate that is not subject to land covenants. </w:t>
      </w:r>
    </w:p>
    <w:p w14:paraId="253AD4DA" w14:textId="77777777" w:rsidR="004D1072" w:rsidRPr="006A5A63" w:rsidRDefault="004D1072" w:rsidP="004D1072">
      <w:pPr>
        <w:pStyle w:val="q"/>
        <w:rPr>
          <w:rFonts w:asciiTheme="minorHAnsi" w:hAnsiTheme="minorHAnsi" w:cstheme="minorHAnsi"/>
          <w:sz w:val="21"/>
          <w:szCs w:val="21"/>
          <w:lang w:val="en-GB"/>
        </w:rPr>
      </w:pPr>
    </w:p>
    <w:p w14:paraId="583F2165" w14:textId="177EC9F5" w:rsidR="004D1072" w:rsidRPr="006A5A63" w:rsidRDefault="00417933" w:rsidP="006A5A63">
      <w:pPr>
        <w:pStyle w:val="q"/>
        <w:spacing w:line="240" w:lineRule="auto"/>
        <w:ind w:left="0" w:firstLine="0"/>
        <w:rPr>
          <w:rFonts w:asciiTheme="minorHAnsi" w:hAnsiTheme="minorHAnsi" w:cstheme="minorHAnsi"/>
          <w:b/>
          <w:bCs/>
          <w:sz w:val="21"/>
          <w:szCs w:val="21"/>
          <w:lang w:val="en-GB"/>
        </w:rPr>
      </w:pPr>
      <w:r w:rsidRPr="006A5A63">
        <w:rPr>
          <w:rFonts w:asciiTheme="minorHAnsi" w:hAnsiTheme="minorHAnsi" w:cstheme="minorHAnsi"/>
          <w:b/>
          <w:sz w:val="21"/>
          <w:szCs w:val="21"/>
          <w:lang w:val="en-GB"/>
        </w:rPr>
        <w:t>Question 2:</w:t>
      </w:r>
      <w:r>
        <w:rPr>
          <w:rFonts w:asciiTheme="minorHAnsi" w:hAnsiTheme="minorHAnsi" w:cstheme="minorHAnsi"/>
          <w:sz w:val="21"/>
          <w:szCs w:val="21"/>
          <w:lang w:val="en-GB"/>
        </w:rPr>
        <w:t xml:space="preserve"> </w:t>
      </w:r>
      <w:r w:rsidR="004D1072" w:rsidRPr="006A5A63">
        <w:rPr>
          <w:rFonts w:asciiTheme="minorHAnsi" w:hAnsiTheme="minorHAnsi" w:cstheme="minorHAnsi"/>
          <w:b/>
          <w:bCs/>
          <w:sz w:val="21"/>
          <w:szCs w:val="21"/>
          <w:lang w:val="en-GB"/>
        </w:rPr>
        <w:t>Are restrictive covenants genuine property interests or a peculiar species of personal contract?</w:t>
      </w:r>
    </w:p>
    <w:p w14:paraId="40BFD095" w14:textId="19B1CB9C" w:rsidR="004D1072" w:rsidRPr="006A5A63" w:rsidRDefault="004D1072" w:rsidP="004D1072">
      <w:pPr>
        <w:pStyle w:val="q"/>
        <w:spacing w:line="240" w:lineRule="auto"/>
        <w:rPr>
          <w:rFonts w:asciiTheme="minorHAnsi" w:hAnsiTheme="minorHAnsi" w:cstheme="minorHAnsi"/>
          <w:b/>
          <w:bCs/>
          <w:sz w:val="21"/>
          <w:szCs w:val="21"/>
          <w:lang w:val="en-GB"/>
        </w:rPr>
      </w:pPr>
    </w:p>
    <w:p w14:paraId="0174EBAA" w14:textId="07FB6F70" w:rsidR="009031F5" w:rsidRPr="006A5A63" w:rsidRDefault="004D1072" w:rsidP="006A5A63">
      <w:pPr>
        <w:pStyle w:val="q"/>
        <w:spacing w:line="240" w:lineRule="auto"/>
        <w:ind w:left="0" w:firstLine="0"/>
        <w:rPr>
          <w:rFonts w:asciiTheme="minorHAnsi" w:hAnsiTheme="minorHAnsi" w:cstheme="minorHAnsi"/>
          <w:sz w:val="21"/>
          <w:szCs w:val="21"/>
          <w:lang w:val="en-GB"/>
        </w:rPr>
      </w:pPr>
      <w:r w:rsidRPr="006A5A63">
        <w:rPr>
          <w:rFonts w:asciiTheme="minorHAnsi" w:hAnsiTheme="minorHAnsi" w:cstheme="minorHAnsi"/>
          <w:sz w:val="21"/>
          <w:szCs w:val="21"/>
          <w:lang w:val="en-GB"/>
        </w:rPr>
        <w:t>Restrictive covenants are generally based upon an agreement between neighbours or owners whose plots of land are in close proximity. They restrict what the covenantor can do on their land. However, following the 19</w:t>
      </w:r>
      <w:r w:rsidRPr="006A5A63">
        <w:rPr>
          <w:rFonts w:asciiTheme="minorHAnsi" w:hAnsiTheme="minorHAnsi" w:cstheme="minorHAnsi"/>
          <w:sz w:val="21"/>
          <w:szCs w:val="21"/>
          <w:vertAlign w:val="superscript"/>
          <w:lang w:val="en-GB"/>
        </w:rPr>
        <w:t>th</w:t>
      </w:r>
      <w:r w:rsidRPr="006A5A63">
        <w:rPr>
          <w:rFonts w:asciiTheme="minorHAnsi" w:hAnsiTheme="minorHAnsi" w:cstheme="minorHAnsi"/>
          <w:sz w:val="21"/>
          <w:szCs w:val="21"/>
          <w:lang w:val="en-GB"/>
        </w:rPr>
        <w:t xml:space="preserve"> century decision in </w:t>
      </w:r>
      <w:proofErr w:type="spellStart"/>
      <w:r w:rsidRPr="006A5A63">
        <w:rPr>
          <w:rFonts w:asciiTheme="minorHAnsi" w:hAnsiTheme="minorHAnsi" w:cstheme="minorHAnsi"/>
          <w:i/>
          <w:iCs/>
          <w:sz w:val="21"/>
          <w:szCs w:val="21"/>
          <w:lang w:val="en-GB"/>
        </w:rPr>
        <w:t>Tulk</w:t>
      </w:r>
      <w:proofErr w:type="spellEnd"/>
      <w:r w:rsidRPr="006A5A63">
        <w:rPr>
          <w:rFonts w:asciiTheme="minorHAnsi" w:hAnsiTheme="minorHAnsi" w:cstheme="minorHAnsi"/>
          <w:i/>
          <w:iCs/>
          <w:sz w:val="21"/>
          <w:szCs w:val="21"/>
          <w:lang w:val="en-GB"/>
        </w:rPr>
        <w:t xml:space="preserve"> v </w:t>
      </w:r>
      <w:proofErr w:type="spellStart"/>
      <w:r w:rsidRPr="006A5A63">
        <w:rPr>
          <w:rFonts w:asciiTheme="minorHAnsi" w:hAnsiTheme="minorHAnsi" w:cstheme="minorHAnsi"/>
          <w:i/>
          <w:iCs/>
          <w:sz w:val="21"/>
          <w:szCs w:val="21"/>
          <w:lang w:val="en-GB"/>
        </w:rPr>
        <w:t>Moxhay</w:t>
      </w:r>
      <w:proofErr w:type="spellEnd"/>
      <w:r w:rsidRPr="006A5A63">
        <w:rPr>
          <w:rFonts w:asciiTheme="minorHAnsi" w:hAnsiTheme="minorHAnsi" w:cstheme="minorHAnsi"/>
          <w:sz w:val="21"/>
          <w:szCs w:val="21"/>
          <w:lang w:val="en-GB"/>
        </w:rPr>
        <w:t xml:space="preserve"> restrictive covenants have developed into a form of equitable proprietary interest, the burden of which can </w:t>
      </w:r>
      <w:r w:rsidR="0049011B" w:rsidRPr="006A5A63">
        <w:rPr>
          <w:rFonts w:asciiTheme="minorHAnsi" w:hAnsiTheme="minorHAnsi" w:cstheme="minorHAnsi"/>
          <w:sz w:val="21"/>
          <w:szCs w:val="21"/>
          <w:lang w:val="en-GB"/>
        </w:rPr>
        <w:t>pass</w:t>
      </w:r>
      <w:r w:rsidRPr="006A5A63">
        <w:rPr>
          <w:rFonts w:asciiTheme="minorHAnsi" w:hAnsiTheme="minorHAnsi" w:cstheme="minorHAnsi"/>
          <w:sz w:val="21"/>
          <w:szCs w:val="21"/>
          <w:lang w:val="en-GB"/>
        </w:rPr>
        <w:t xml:space="preserve"> to succ</w:t>
      </w:r>
      <w:r w:rsidR="009031F5" w:rsidRPr="006A5A63">
        <w:rPr>
          <w:rFonts w:asciiTheme="minorHAnsi" w:hAnsiTheme="minorHAnsi" w:cstheme="minorHAnsi"/>
          <w:sz w:val="21"/>
          <w:szCs w:val="21"/>
          <w:lang w:val="en-GB"/>
        </w:rPr>
        <w:t>ess</w:t>
      </w:r>
      <w:r w:rsidRPr="006A5A63">
        <w:rPr>
          <w:rFonts w:asciiTheme="minorHAnsi" w:hAnsiTheme="minorHAnsi" w:cstheme="minorHAnsi"/>
          <w:sz w:val="21"/>
          <w:szCs w:val="21"/>
          <w:lang w:val="en-GB"/>
        </w:rPr>
        <w:t>ors in</w:t>
      </w:r>
      <w:r w:rsidR="009031F5" w:rsidRPr="006A5A63">
        <w:rPr>
          <w:rFonts w:asciiTheme="minorHAnsi" w:hAnsiTheme="minorHAnsi" w:cstheme="minorHAnsi"/>
          <w:sz w:val="21"/>
          <w:szCs w:val="21"/>
          <w:lang w:val="en-GB"/>
        </w:rPr>
        <w:t xml:space="preserve"> </w:t>
      </w:r>
      <w:r w:rsidRPr="006A5A63">
        <w:rPr>
          <w:rFonts w:asciiTheme="minorHAnsi" w:hAnsiTheme="minorHAnsi" w:cstheme="minorHAnsi"/>
          <w:sz w:val="21"/>
          <w:szCs w:val="21"/>
          <w:lang w:val="en-GB"/>
        </w:rPr>
        <w:t xml:space="preserve">title and person deriving title from the original covenantor </w:t>
      </w:r>
      <w:r w:rsidR="009031F5" w:rsidRPr="006A5A63">
        <w:rPr>
          <w:rFonts w:asciiTheme="minorHAnsi" w:hAnsiTheme="minorHAnsi" w:cstheme="minorHAnsi"/>
          <w:sz w:val="21"/>
          <w:szCs w:val="21"/>
          <w:lang w:val="en-GB"/>
        </w:rPr>
        <w:t>provided they are registered at the Land Registry</w:t>
      </w:r>
      <w:r w:rsidRPr="006A5A63">
        <w:rPr>
          <w:rFonts w:asciiTheme="minorHAnsi" w:hAnsiTheme="minorHAnsi" w:cstheme="minorHAnsi"/>
          <w:sz w:val="21"/>
          <w:szCs w:val="21"/>
          <w:lang w:val="en-GB"/>
        </w:rPr>
        <w:t xml:space="preserve">. </w:t>
      </w:r>
      <w:r w:rsidR="009031F5" w:rsidRPr="006A5A63">
        <w:rPr>
          <w:rFonts w:asciiTheme="minorHAnsi" w:hAnsiTheme="minorHAnsi" w:cstheme="minorHAnsi"/>
          <w:sz w:val="21"/>
          <w:szCs w:val="21"/>
          <w:lang w:val="en-GB"/>
        </w:rPr>
        <w:t xml:space="preserve">Their details will appear in the Charges Register as a burden on the land. </w:t>
      </w:r>
    </w:p>
    <w:p w14:paraId="005981FD" w14:textId="04DC7B97" w:rsidR="009031F5" w:rsidRPr="006A5A63" w:rsidRDefault="009031F5" w:rsidP="004D1072">
      <w:pPr>
        <w:pStyle w:val="q"/>
        <w:spacing w:line="240" w:lineRule="auto"/>
        <w:ind w:firstLine="0"/>
        <w:rPr>
          <w:rFonts w:asciiTheme="minorHAnsi" w:hAnsiTheme="minorHAnsi" w:cstheme="minorHAnsi"/>
          <w:sz w:val="21"/>
          <w:szCs w:val="21"/>
          <w:lang w:val="en-GB"/>
        </w:rPr>
      </w:pPr>
    </w:p>
    <w:p w14:paraId="197DF792" w14:textId="51CD39BB" w:rsidR="009031F5" w:rsidRPr="006A5A63" w:rsidRDefault="009031F5" w:rsidP="006A5A63">
      <w:pPr>
        <w:pStyle w:val="q"/>
        <w:spacing w:line="240" w:lineRule="auto"/>
        <w:ind w:left="0" w:firstLine="0"/>
        <w:rPr>
          <w:rFonts w:asciiTheme="minorHAnsi" w:hAnsiTheme="minorHAnsi" w:cstheme="minorHAnsi"/>
          <w:sz w:val="21"/>
          <w:szCs w:val="21"/>
          <w:lang w:val="en-GB"/>
        </w:rPr>
      </w:pPr>
      <w:r w:rsidRPr="006A5A63">
        <w:rPr>
          <w:rFonts w:asciiTheme="minorHAnsi" w:hAnsiTheme="minorHAnsi" w:cstheme="minorHAnsi"/>
          <w:sz w:val="21"/>
          <w:szCs w:val="21"/>
          <w:lang w:val="en-GB"/>
        </w:rPr>
        <w:t xml:space="preserve">To qualify as an equitable interest under the Doctrine of </w:t>
      </w:r>
      <w:proofErr w:type="spellStart"/>
      <w:r w:rsidRPr="006A5A63">
        <w:rPr>
          <w:rFonts w:asciiTheme="minorHAnsi" w:hAnsiTheme="minorHAnsi" w:cstheme="minorHAnsi"/>
          <w:i/>
          <w:iCs/>
          <w:sz w:val="21"/>
          <w:szCs w:val="21"/>
          <w:lang w:val="en-GB"/>
        </w:rPr>
        <w:t>Tulk</w:t>
      </w:r>
      <w:proofErr w:type="spellEnd"/>
      <w:r w:rsidRPr="006A5A63">
        <w:rPr>
          <w:rFonts w:asciiTheme="minorHAnsi" w:hAnsiTheme="minorHAnsi" w:cstheme="minorHAnsi"/>
          <w:i/>
          <w:iCs/>
          <w:sz w:val="21"/>
          <w:szCs w:val="21"/>
          <w:lang w:val="en-GB"/>
        </w:rPr>
        <w:t xml:space="preserve"> v </w:t>
      </w:r>
      <w:proofErr w:type="spellStart"/>
      <w:r w:rsidRPr="006A5A63">
        <w:rPr>
          <w:rFonts w:asciiTheme="minorHAnsi" w:hAnsiTheme="minorHAnsi" w:cstheme="minorHAnsi"/>
          <w:i/>
          <w:iCs/>
          <w:sz w:val="21"/>
          <w:szCs w:val="21"/>
          <w:lang w:val="en-GB"/>
        </w:rPr>
        <w:t>Moxhay</w:t>
      </w:r>
      <w:proofErr w:type="spellEnd"/>
      <w:r w:rsidRPr="006A5A63">
        <w:rPr>
          <w:rFonts w:asciiTheme="minorHAnsi" w:hAnsiTheme="minorHAnsi" w:cstheme="minorHAnsi"/>
          <w:sz w:val="21"/>
          <w:szCs w:val="21"/>
          <w:lang w:val="en-GB"/>
        </w:rPr>
        <w:t xml:space="preserve">, a restrictive covenant must display certain characteristics. These are examined in </w:t>
      </w:r>
      <w:r w:rsidR="00DF5CB4" w:rsidRPr="006A5A63">
        <w:rPr>
          <w:rFonts w:asciiTheme="minorHAnsi" w:hAnsiTheme="minorHAnsi" w:cstheme="minorHAnsi"/>
          <w:sz w:val="21"/>
          <w:szCs w:val="21"/>
          <w:lang w:val="en-GB"/>
        </w:rPr>
        <w:t>P</w:t>
      </w:r>
      <w:r w:rsidRPr="006A5A63">
        <w:rPr>
          <w:rFonts w:asciiTheme="minorHAnsi" w:hAnsiTheme="minorHAnsi" w:cstheme="minorHAnsi"/>
          <w:sz w:val="21"/>
          <w:szCs w:val="21"/>
          <w:lang w:val="en-GB"/>
        </w:rPr>
        <w:t xml:space="preserve">aragraphs 10.6-10.15. </w:t>
      </w:r>
    </w:p>
    <w:p w14:paraId="489E8C85" w14:textId="77777777" w:rsidR="004D1072" w:rsidRPr="006A5A63" w:rsidRDefault="004D1072" w:rsidP="004D1072">
      <w:pPr>
        <w:pStyle w:val="q"/>
        <w:spacing w:line="240" w:lineRule="auto"/>
        <w:ind w:firstLine="0"/>
        <w:rPr>
          <w:rFonts w:asciiTheme="minorHAnsi" w:hAnsiTheme="minorHAnsi" w:cstheme="minorHAnsi"/>
          <w:sz w:val="21"/>
          <w:szCs w:val="21"/>
          <w:lang w:val="en-GB"/>
        </w:rPr>
      </w:pPr>
    </w:p>
    <w:p w14:paraId="08F100CD" w14:textId="561E6F16" w:rsidR="004D1072" w:rsidRPr="006A5A63" w:rsidRDefault="00417933" w:rsidP="006A5A63">
      <w:pPr>
        <w:pStyle w:val="q"/>
        <w:spacing w:line="240" w:lineRule="auto"/>
        <w:ind w:left="0" w:firstLine="0"/>
        <w:rPr>
          <w:rFonts w:asciiTheme="minorHAnsi" w:hAnsiTheme="minorHAnsi" w:cstheme="minorHAnsi"/>
          <w:b/>
          <w:bCs/>
          <w:sz w:val="21"/>
          <w:szCs w:val="21"/>
          <w:lang w:val="en-GB"/>
        </w:rPr>
      </w:pPr>
      <w:r w:rsidRPr="006A5A63">
        <w:rPr>
          <w:rFonts w:asciiTheme="minorHAnsi" w:hAnsiTheme="minorHAnsi" w:cstheme="minorHAnsi"/>
          <w:b/>
          <w:sz w:val="21"/>
          <w:szCs w:val="21"/>
          <w:lang w:val="en-GB"/>
        </w:rPr>
        <w:t>Question 3:</w:t>
      </w:r>
      <w:r>
        <w:rPr>
          <w:rFonts w:asciiTheme="minorHAnsi" w:hAnsiTheme="minorHAnsi" w:cstheme="minorHAnsi"/>
          <w:sz w:val="21"/>
          <w:szCs w:val="21"/>
          <w:lang w:val="en-GB"/>
        </w:rPr>
        <w:t xml:space="preserve"> </w:t>
      </w:r>
      <w:r w:rsidR="004D1072" w:rsidRPr="006A5A63">
        <w:rPr>
          <w:rFonts w:asciiTheme="minorHAnsi" w:hAnsiTheme="minorHAnsi" w:cstheme="minorHAnsi"/>
          <w:b/>
          <w:bCs/>
          <w:sz w:val="21"/>
          <w:szCs w:val="21"/>
          <w:lang w:val="en-GB"/>
        </w:rPr>
        <w:t>Restrictive covenants and easements share some common characteristics. What are their similarities and differences?</w:t>
      </w:r>
    </w:p>
    <w:p w14:paraId="68F8F241" w14:textId="77777777" w:rsidR="009031F5" w:rsidRPr="00417933" w:rsidRDefault="009031F5" w:rsidP="009031F5">
      <w:pPr>
        <w:spacing w:after="0" w:line="240" w:lineRule="auto"/>
        <w:jc w:val="both"/>
        <w:rPr>
          <w:rFonts w:cs="Arial"/>
          <w:sz w:val="21"/>
          <w:szCs w:val="21"/>
        </w:rPr>
      </w:pPr>
    </w:p>
    <w:p w14:paraId="63985BFE" w14:textId="7F5B1455" w:rsidR="009031F5" w:rsidRPr="006A5A63" w:rsidRDefault="009031F5" w:rsidP="006A5A63">
      <w:pPr>
        <w:spacing w:after="0" w:line="240" w:lineRule="auto"/>
        <w:jc w:val="both"/>
        <w:rPr>
          <w:rFonts w:cs="Arial"/>
          <w:sz w:val="21"/>
          <w:szCs w:val="21"/>
        </w:rPr>
      </w:pPr>
      <w:r w:rsidRPr="006A5A63">
        <w:rPr>
          <w:rFonts w:cs="Arial"/>
          <w:sz w:val="21"/>
          <w:szCs w:val="21"/>
        </w:rPr>
        <w:t xml:space="preserve">The renown Chancery judge Sir George </w:t>
      </w:r>
      <w:proofErr w:type="spellStart"/>
      <w:r w:rsidRPr="006A5A63">
        <w:rPr>
          <w:rFonts w:cs="Arial"/>
          <w:sz w:val="21"/>
          <w:szCs w:val="21"/>
        </w:rPr>
        <w:t>Jessel</w:t>
      </w:r>
      <w:proofErr w:type="spellEnd"/>
      <w:r w:rsidRPr="006A5A63">
        <w:rPr>
          <w:rFonts w:cs="Arial"/>
          <w:sz w:val="21"/>
          <w:szCs w:val="21"/>
        </w:rPr>
        <w:t xml:space="preserve"> in </w:t>
      </w:r>
      <w:r w:rsidRPr="006A5A63">
        <w:rPr>
          <w:rFonts w:cs="Arial"/>
          <w:i/>
          <w:sz w:val="21"/>
          <w:szCs w:val="21"/>
        </w:rPr>
        <w:t xml:space="preserve">London and South Western Ry. Co. v </w:t>
      </w:r>
      <w:proofErr w:type="spellStart"/>
      <w:r w:rsidRPr="006A5A63">
        <w:rPr>
          <w:rFonts w:cs="Arial"/>
          <w:i/>
          <w:sz w:val="21"/>
          <w:szCs w:val="21"/>
        </w:rPr>
        <w:t>Gomm</w:t>
      </w:r>
      <w:proofErr w:type="spellEnd"/>
      <w:r w:rsidRPr="006A5A63">
        <w:rPr>
          <w:rFonts w:cs="Arial"/>
          <w:sz w:val="21"/>
          <w:szCs w:val="21"/>
        </w:rPr>
        <w:t xml:space="preserve"> described restrictive covenants </w:t>
      </w:r>
      <w:r w:rsidR="001341B4" w:rsidRPr="006A5A63">
        <w:rPr>
          <w:rFonts w:cs="Arial"/>
          <w:sz w:val="21"/>
          <w:szCs w:val="21"/>
        </w:rPr>
        <w:t>‘</w:t>
      </w:r>
      <w:r w:rsidRPr="006A5A63">
        <w:rPr>
          <w:rFonts w:cs="Arial"/>
          <w:sz w:val="21"/>
          <w:szCs w:val="21"/>
        </w:rPr>
        <w:t xml:space="preserve">as </w:t>
      </w:r>
      <w:r w:rsidR="001341B4" w:rsidRPr="006A5A63">
        <w:rPr>
          <w:rFonts w:cs="Arial"/>
          <w:sz w:val="21"/>
          <w:szCs w:val="21"/>
        </w:rPr>
        <w:t xml:space="preserve">an </w:t>
      </w:r>
      <w:r w:rsidR="001341B4" w:rsidRPr="006A5A63">
        <w:rPr>
          <w:rFonts w:cs="Arial"/>
          <w:bCs/>
          <w:sz w:val="21"/>
          <w:szCs w:val="21"/>
        </w:rPr>
        <w:t>equitable extension of either privity of estate or negative easements</w:t>
      </w:r>
      <w:r w:rsidR="00973CDF" w:rsidRPr="006A5A63">
        <w:rPr>
          <w:rFonts w:cs="Arial"/>
          <w:bCs/>
          <w:sz w:val="21"/>
          <w:szCs w:val="21"/>
        </w:rPr>
        <w:t>.</w:t>
      </w:r>
      <w:r w:rsidR="001341B4" w:rsidRPr="006A5A63">
        <w:rPr>
          <w:rFonts w:cs="Arial"/>
          <w:bCs/>
          <w:sz w:val="21"/>
          <w:szCs w:val="21"/>
        </w:rPr>
        <w:t xml:space="preserve">’  </w:t>
      </w:r>
      <w:r w:rsidRPr="006A5A63">
        <w:rPr>
          <w:rFonts w:cs="Arial"/>
          <w:sz w:val="21"/>
          <w:szCs w:val="21"/>
        </w:rPr>
        <w:t xml:space="preserve">Restrictive covenants </w:t>
      </w:r>
      <w:r w:rsidR="001341B4" w:rsidRPr="006A5A63">
        <w:rPr>
          <w:rFonts w:cs="Arial"/>
          <w:sz w:val="21"/>
          <w:szCs w:val="21"/>
        </w:rPr>
        <w:t xml:space="preserve">do </w:t>
      </w:r>
      <w:r w:rsidRPr="006A5A63">
        <w:rPr>
          <w:rFonts w:cs="Arial"/>
          <w:sz w:val="21"/>
          <w:szCs w:val="21"/>
        </w:rPr>
        <w:t xml:space="preserve">bear some similarities to both privity of estate and negative easements but there are crucial distinctions and thus the analogies are of limited assistance. </w:t>
      </w:r>
    </w:p>
    <w:p w14:paraId="670E15E2" w14:textId="77777777" w:rsidR="009031F5" w:rsidRPr="006A5A63" w:rsidRDefault="009031F5" w:rsidP="009031F5">
      <w:pPr>
        <w:spacing w:after="0" w:line="240" w:lineRule="auto"/>
        <w:jc w:val="both"/>
        <w:rPr>
          <w:rFonts w:cs="Arial"/>
          <w:sz w:val="21"/>
          <w:szCs w:val="21"/>
        </w:rPr>
      </w:pPr>
    </w:p>
    <w:p w14:paraId="226A6D8C" w14:textId="0745453C" w:rsidR="009031F5" w:rsidRPr="006A5A63" w:rsidRDefault="009031F5" w:rsidP="006A5A63">
      <w:pPr>
        <w:spacing w:after="0" w:line="240" w:lineRule="auto"/>
        <w:jc w:val="both"/>
        <w:rPr>
          <w:rFonts w:cs="Arial"/>
          <w:sz w:val="21"/>
          <w:szCs w:val="21"/>
        </w:rPr>
      </w:pPr>
      <w:r w:rsidRPr="006A5A63">
        <w:rPr>
          <w:rFonts w:cs="Arial"/>
          <w:sz w:val="21"/>
          <w:szCs w:val="21"/>
        </w:rPr>
        <w:t xml:space="preserve">We consider the running of leasehold covenants through the concept of privity of estate in Chapter </w:t>
      </w:r>
      <w:r w:rsidR="001341B4" w:rsidRPr="006A5A63">
        <w:rPr>
          <w:rFonts w:cs="Arial"/>
          <w:sz w:val="21"/>
          <w:szCs w:val="21"/>
        </w:rPr>
        <w:t>7</w:t>
      </w:r>
      <w:r w:rsidRPr="006A5A63">
        <w:rPr>
          <w:rFonts w:cs="Arial"/>
          <w:sz w:val="21"/>
          <w:szCs w:val="21"/>
        </w:rPr>
        <w:t xml:space="preserve"> and note that burden of leasehold covenants may run whether they are positive or negative. This is a fundamental distinction between restrictive and leasehold covenants. </w:t>
      </w:r>
    </w:p>
    <w:p w14:paraId="67F963A8" w14:textId="77777777" w:rsidR="009031F5" w:rsidRPr="006A5A63" w:rsidRDefault="009031F5" w:rsidP="009031F5">
      <w:pPr>
        <w:spacing w:after="0" w:line="240" w:lineRule="auto"/>
        <w:jc w:val="both"/>
        <w:rPr>
          <w:rFonts w:cs="Arial"/>
          <w:sz w:val="21"/>
          <w:szCs w:val="21"/>
        </w:rPr>
      </w:pPr>
    </w:p>
    <w:p w14:paraId="4922C864" w14:textId="2414EFCA" w:rsidR="001341B4" w:rsidRPr="006A5A63" w:rsidRDefault="009031F5" w:rsidP="006A5A63">
      <w:pPr>
        <w:spacing w:after="0" w:line="240" w:lineRule="auto"/>
        <w:jc w:val="both"/>
        <w:rPr>
          <w:rFonts w:cs="Arial"/>
          <w:sz w:val="21"/>
          <w:szCs w:val="21"/>
        </w:rPr>
      </w:pPr>
      <w:r w:rsidRPr="006A5A63">
        <w:rPr>
          <w:rFonts w:cs="Arial"/>
          <w:sz w:val="21"/>
          <w:szCs w:val="21"/>
        </w:rPr>
        <w:t>The nature of easements is explored in Chapter</w:t>
      </w:r>
      <w:r w:rsidR="001341B4" w:rsidRPr="006A5A63">
        <w:rPr>
          <w:rFonts w:cs="Arial"/>
          <w:sz w:val="21"/>
          <w:szCs w:val="21"/>
        </w:rPr>
        <w:t xml:space="preserve"> 9 particularly at </w:t>
      </w:r>
      <w:r w:rsidR="00063154" w:rsidRPr="006A5A63">
        <w:rPr>
          <w:rFonts w:cs="Arial"/>
          <w:sz w:val="21"/>
          <w:szCs w:val="21"/>
        </w:rPr>
        <w:t>P</w:t>
      </w:r>
      <w:r w:rsidR="001341B4" w:rsidRPr="006A5A63">
        <w:rPr>
          <w:rFonts w:cs="Arial"/>
          <w:sz w:val="21"/>
          <w:szCs w:val="21"/>
        </w:rPr>
        <w:t>aragraphs 9.</w:t>
      </w:r>
      <w:r w:rsidR="00973CDF" w:rsidRPr="006A5A63">
        <w:rPr>
          <w:rFonts w:cs="Arial"/>
          <w:sz w:val="21"/>
          <w:szCs w:val="21"/>
        </w:rPr>
        <w:t>7-9.28</w:t>
      </w:r>
      <w:r w:rsidR="001341B4" w:rsidRPr="006A5A63">
        <w:rPr>
          <w:rFonts w:cs="Arial"/>
          <w:sz w:val="21"/>
          <w:szCs w:val="21"/>
        </w:rPr>
        <w:t xml:space="preserve">. Most easements are positive in character </w:t>
      </w:r>
      <w:proofErr w:type="spellStart"/>
      <w:r w:rsidR="001341B4" w:rsidRPr="006A5A63">
        <w:rPr>
          <w:rFonts w:cs="Arial"/>
          <w:sz w:val="21"/>
          <w:szCs w:val="21"/>
        </w:rPr>
        <w:t>ie</w:t>
      </w:r>
      <w:proofErr w:type="spellEnd"/>
      <w:r w:rsidR="001341B4" w:rsidRPr="006A5A63">
        <w:rPr>
          <w:rFonts w:cs="Arial"/>
          <w:sz w:val="21"/>
          <w:szCs w:val="21"/>
        </w:rPr>
        <w:t xml:space="preserve"> they allow the dominant owner to do something on the servient land. However, some are negative in the sense that they restrict what a servient owner could otherwise do on their land for instance a right to light, air or support see </w:t>
      </w:r>
      <w:r w:rsidR="00063154" w:rsidRPr="006A5A63">
        <w:rPr>
          <w:rFonts w:cs="Arial"/>
          <w:sz w:val="21"/>
          <w:szCs w:val="21"/>
        </w:rPr>
        <w:t>P</w:t>
      </w:r>
      <w:r w:rsidR="001341B4" w:rsidRPr="006A5A63">
        <w:rPr>
          <w:rFonts w:cs="Arial"/>
          <w:sz w:val="21"/>
          <w:szCs w:val="21"/>
        </w:rPr>
        <w:t xml:space="preserve">aragraph 9.1. As such they perform a similar function to a restrictive covenant. Indeed, the reluctance of the courts to recognize new forms of negative easements (see </w:t>
      </w:r>
      <w:r w:rsidR="00063154" w:rsidRPr="006A5A63">
        <w:rPr>
          <w:rFonts w:cs="Arial"/>
          <w:sz w:val="21"/>
          <w:szCs w:val="21"/>
        </w:rPr>
        <w:t>P</w:t>
      </w:r>
      <w:r w:rsidR="001341B4" w:rsidRPr="006A5A63">
        <w:rPr>
          <w:rFonts w:cs="Arial"/>
          <w:sz w:val="21"/>
          <w:szCs w:val="21"/>
        </w:rPr>
        <w:t xml:space="preserve">aragraph 9.23) is influenced by the fact that neighbouring owners can address their concerns by creating a suitably framed restrictive covenant – see </w:t>
      </w:r>
      <w:r w:rsidR="001341B4" w:rsidRPr="006A5A63">
        <w:rPr>
          <w:rFonts w:cs="Arial"/>
          <w:i/>
          <w:sz w:val="21"/>
          <w:szCs w:val="21"/>
        </w:rPr>
        <w:t>Phipps v Pears</w:t>
      </w:r>
      <w:r w:rsidR="001341B4" w:rsidRPr="006A5A63">
        <w:rPr>
          <w:rFonts w:cs="Arial"/>
          <w:sz w:val="21"/>
          <w:szCs w:val="21"/>
        </w:rPr>
        <w:t>.</w:t>
      </w:r>
    </w:p>
    <w:p w14:paraId="6869839A" w14:textId="77777777" w:rsidR="001341B4" w:rsidRPr="006A5A63" w:rsidRDefault="001341B4" w:rsidP="001341B4">
      <w:pPr>
        <w:spacing w:after="0" w:line="240" w:lineRule="auto"/>
        <w:ind w:left="567"/>
        <w:jc w:val="both"/>
        <w:rPr>
          <w:rFonts w:cs="Arial"/>
          <w:sz w:val="21"/>
          <w:szCs w:val="21"/>
        </w:rPr>
      </w:pPr>
    </w:p>
    <w:p w14:paraId="65710F07" w14:textId="74905638" w:rsidR="009031F5" w:rsidRPr="006A5A63" w:rsidRDefault="009031F5" w:rsidP="006A5A63">
      <w:pPr>
        <w:spacing w:after="0" w:line="240" w:lineRule="auto"/>
        <w:jc w:val="both"/>
        <w:rPr>
          <w:rFonts w:cs="Arial"/>
          <w:sz w:val="21"/>
          <w:szCs w:val="21"/>
        </w:rPr>
      </w:pPr>
      <w:r w:rsidRPr="006A5A63">
        <w:rPr>
          <w:rFonts w:cs="Arial"/>
          <w:sz w:val="21"/>
          <w:szCs w:val="21"/>
        </w:rPr>
        <w:lastRenderedPageBreak/>
        <w:t xml:space="preserve">Both negative easements and restrictive covenants operate between neighbouring landowners and call for at least two pieces of land, commonly referred to as the dominant and servient land. The </w:t>
      </w:r>
      <w:r w:rsidR="00973CDF" w:rsidRPr="006A5A63">
        <w:rPr>
          <w:rFonts w:cs="Arial"/>
          <w:sz w:val="21"/>
          <w:szCs w:val="21"/>
        </w:rPr>
        <w:t xml:space="preserve">requirement that a restrictive covenant must </w:t>
      </w:r>
      <w:r w:rsidRPr="006A5A63">
        <w:rPr>
          <w:rFonts w:cs="Arial"/>
          <w:sz w:val="21"/>
          <w:szCs w:val="21"/>
        </w:rPr>
        <w:t xml:space="preserve">benefit adjoining land is also similar to the requirement for accommodation that we explored when considering easements. The analogies between the two interests are thus easy to spot but distinctions do exist particularly in </w:t>
      </w:r>
      <w:r w:rsidR="00973CDF" w:rsidRPr="006A5A63">
        <w:rPr>
          <w:rFonts w:cs="Arial"/>
          <w:sz w:val="21"/>
          <w:szCs w:val="21"/>
        </w:rPr>
        <w:t xml:space="preserve">relation to the Acquisition and Defences Questions. </w:t>
      </w:r>
      <w:r w:rsidRPr="006A5A63">
        <w:rPr>
          <w:rFonts w:cs="Arial"/>
          <w:sz w:val="21"/>
          <w:szCs w:val="21"/>
        </w:rPr>
        <w:t>Easements may be created by express, implied and presumed grant – see</w:t>
      </w:r>
      <w:r w:rsidR="00973CDF" w:rsidRPr="006A5A63">
        <w:rPr>
          <w:rFonts w:cs="Arial"/>
          <w:sz w:val="21"/>
          <w:szCs w:val="21"/>
        </w:rPr>
        <w:t xml:space="preserve"> </w:t>
      </w:r>
      <w:r w:rsidR="002C691A" w:rsidRPr="006A5A63">
        <w:rPr>
          <w:rFonts w:cs="Arial"/>
          <w:sz w:val="21"/>
          <w:szCs w:val="21"/>
        </w:rPr>
        <w:t>P</w:t>
      </w:r>
      <w:r w:rsidR="00973CDF" w:rsidRPr="006A5A63">
        <w:rPr>
          <w:rFonts w:cs="Arial"/>
          <w:sz w:val="21"/>
          <w:szCs w:val="21"/>
        </w:rPr>
        <w:t>aragraphs 9.29-9.59</w:t>
      </w:r>
      <w:r w:rsidRPr="006A5A63">
        <w:rPr>
          <w:rFonts w:cs="Arial"/>
          <w:sz w:val="21"/>
          <w:szCs w:val="21"/>
        </w:rPr>
        <w:t>. Covenants are based upon the parties’ agreement which is invariably found in the express terms of a deed</w:t>
      </w:r>
      <w:r w:rsidR="00973CDF" w:rsidRPr="006A5A63">
        <w:rPr>
          <w:rFonts w:cs="Arial"/>
          <w:sz w:val="21"/>
          <w:szCs w:val="21"/>
        </w:rPr>
        <w:t xml:space="preserve"> – see </w:t>
      </w:r>
      <w:r w:rsidR="002C691A" w:rsidRPr="006A5A63">
        <w:rPr>
          <w:rFonts w:cs="Arial"/>
          <w:sz w:val="21"/>
          <w:szCs w:val="21"/>
        </w:rPr>
        <w:t>P</w:t>
      </w:r>
      <w:r w:rsidR="00973CDF" w:rsidRPr="006A5A63">
        <w:rPr>
          <w:rFonts w:cs="Arial"/>
          <w:sz w:val="21"/>
          <w:szCs w:val="21"/>
        </w:rPr>
        <w:t>aragraph 10.22</w:t>
      </w:r>
      <w:r w:rsidRPr="006A5A63">
        <w:rPr>
          <w:rFonts w:cs="Arial"/>
          <w:sz w:val="21"/>
          <w:szCs w:val="21"/>
        </w:rPr>
        <w:t>. Easements may exist at law</w:t>
      </w:r>
      <w:r w:rsidR="00973CDF" w:rsidRPr="006A5A63">
        <w:rPr>
          <w:rFonts w:cs="Arial"/>
          <w:sz w:val="21"/>
          <w:szCs w:val="21"/>
        </w:rPr>
        <w:t xml:space="preserve"> </w:t>
      </w:r>
      <w:r w:rsidRPr="006A5A63">
        <w:rPr>
          <w:rFonts w:cs="Arial"/>
          <w:sz w:val="21"/>
          <w:szCs w:val="21"/>
        </w:rPr>
        <w:t xml:space="preserve">and </w:t>
      </w:r>
      <w:r w:rsidR="00585DE5" w:rsidRPr="006A5A63">
        <w:rPr>
          <w:rFonts w:cs="Arial"/>
          <w:sz w:val="21"/>
          <w:szCs w:val="21"/>
        </w:rPr>
        <w:t xml:space="preserve">legal easements </w:t>
      </w:r>
      <w:r w:rsidRPr="006A5A63">
        <w:rPr>
          <w:rFonts w:cs="Arial"/>
          <w:sz w:val="21"/>
          <w:szCs w:val="21"/>
        </w:rPr>
        <w:t>are recognised as overriding interests where the land is registered. They will thus automatically bind a future owner of the servient land. By the terms of section 62 of the LPA 1925 the benefit of an easement will also pass automatically to the purchaser of the dominant land. A restrictive covenant as an equitable interest</w:t>
      </w:r>
      <w:r w:rsidR="00CF5546" w:rsidRPr="006A5A63">
        <w:rPr>
          <w:rFonts w:cs="Arial"/>
          <w:sz w:val="21"/>
          <w:szCs w:val="21"/>
        </w:rPr>
        <w:t xml:space="preserve"> should </w:t>
      </w:r>
      <w:r w:rsidRPr="006A5A63">
        <w:rPr>
          <w:rFonts w:cs="Arial"/>
          <w:sz w:val="21"/>
          <w:szCs w:val="21"/>
        </w:rPr>
        <w:t xml:space="preserve">be registered to bind a future owner of the servient land – see </w:t>
      </w:r>
      <w:r w:rsidR="00CF5546" w:rsidRPr="006A5A63">
        <w:rPr>
          <w:rFonts w:cs="Arial"/>
          <w:sz w:val="21"/>
          <w:szCs w:val="21"/>
        </w:rPr>
        <w:t>P</w:t>
      </w:r>
      <w:r w:rsidR="00973CDF" w:rsidRPr="006A5A63">
        <w:rPr>
          <w:rFonts w:cs="Arial"/>
          <w:sz w:val="21"/>
          <w:szCs w:val="21"/>
        </w:rPr>
        <w:t>aragraphs 10.23-10.24</w:t>
      </w:r>
      <w:r w:rsidRPr="006A5A63">
        <w:rPr>
          <w:rFonts w:cs="Arial"/>
          <w:sz w:val="21"/>
          <w:szCs w:val="21"/>
        </w:rPr>
        <w:t xml:space="preserve">. </w:t>
      </w:r>
    </w:p>
    <w:p w14:paraId="209C0010" w14:textId="1BBB3AA2" w:rsidR="009031F5" w:rsidRPr="006A5A63" w:rsidRDefault="009031F5" w:rsidP="009031F5">
      <w:pPr>
        <w:pStyle w:val="q"/>
        <w:spacing w:line="240" w:lineRule="auto"/>
        <w:rPr>
          <w:rFonts w:asciiTheme="minorHAnsi" w:hAnsiTheme="minorHAnsi" w:cstheme="minorHAnsi"/>
          <w:b/>
          <w:bCs/>
          <w:sz w:val="21"/>
          <w:szCs w:val="21"/>
          <w:lang w:val="en-GB"/>
        </w:rPr>
      </w:pPr>
    </w:p>
    <w:p w14:paraId="78C52400" w14:textId="77777777" w:rsidR="009031F5" w:rsidRPr="006A5A63" w:rsidRDefault="009031F5" w:rsidP="009031F5">
      <w:pPr>
        <w:pStyle w:val="q"/>
        <w:spacing w:line="240" w:lineRule="auto"/>
        <w:ind w:left="1134"/>
        <w:rPr>
          <w:rFonts w:asciiTheme="minorHAnsi" w:hAnsiTheme="minorHAnsi" w:cstheme="minorHAnsi"/>
          <w:b/>
          <w:bCs/>
          <w:sz w:val="21"/>
          <w:szCs w:val="21"/>
          <w:lang w:val="en-GB"/>
        </w:rPr>
      </w:pPr>
    </w:p>
    <w:p w14:paraId="20B87B89" w14:textId="3EEFB791" w:rsidR="004D1072" w:rsidRPr="006A5A63" w:rsidRDefault="00417933" w:rsidP="004D1072">
      <w:pPr>
        <w:pStyle w:val="q"/>
        <w:rPr>
          <w:rFonts w:asciiTheme="minorHAnsi" w:hAnsiTheme="minorHAnsi" w:cstheme="minorHAnsi"/>
          <w:b/>
          <w:bCs/>
          <w:sz w:val="21"/>
          <w:szCs w:val="21"/>
          <w:lang w:val="en-GB"/>
        </w:rPr>
      </w:pPr>
      <w:r w:rsidRPr="006A5A63">
        <w:rPr>
          <w:rFonts w:asciiTheme="minorHAnsi" w:hAnsiTheme="minorHAnsi" w:cstheme="minorHAnsi"/>
          <w:b/>
          <w:sz w:val="21"/>
          <w:szCs w:val="21"/>
          <w:lang w:val="en-GB"/>
        </w:rPr>
        <w:t>Question 4:</w:t>
      </w:r>
      <w:r>
        <w:rPr>
          <w:rFonts w:asciiTheme="minorHAnsi" w:hAnsiTheme="minorHAnsi" w:cstheme="minorHAnsi"/>
          <w:sz w:val="21"/>
          <w:szCs w:val="21"/>
          <w:lang w:val="en-GB"/>
        </w:rPr>
        <w:t xml:space="preserve"> </w:t>
      </w:r>
      <w:r w:rsidR="004D1072" w:rsidRPr="006A5A63">
        <w:rPr>
          <w:rFonts w:asciiTheme="minorHAnsi" w:hAnsiTheme="minorHAnsi" w:cstheme="minorHAnsi"/>
          <w:b/>
          <w:bCs/>
          <w:sz w:val="21"/>
          <w:szCs w:val="21"/>
          <w:lang w:val="en-GB"/>
        </w:rPr>
        <w:t>What is meant by annexation? Do you think automatic annexation is justified?</w:t>
      </w:r>
    </w:p>
    <w:p w14:paraId="1FFBB977" w14:textId="32958A81" w:rsidR="00926EA1" w:rsidRPr="006A5A63" w:rsidRDefault="009176E3" w:rsidP="006A5A63">
      <w:pPr>
        <w:pStyle w:val="q"/>
        <w:spacing w:line="240" w:lineRule="auto"/>
        <w:ind w:left="0" w:firstLine="0"/>
        <w:rPr>
          <w:rFonts w:asciiTheme="minorHAnsi" w:hAnsiTheme="minorHAnsi" w:cstheme="minorHAnsi"/>
          <w:sz w:val="21"/>
          <w:szCs w:val="21"/>
          <w:lang w:val="en-GB"/>
        </w:rPr>
      </w:pPr>
      <w:r w:rsidRPr="006A5A63">
        <w:rPr>
          <w:rFonts w:asciiTheme="minorHAnsi" w:hAnsiTheme="minorHAnsi" w:cstheme="minorHAnsi"/>
          <w:sz w:val="21"/>
          <w:szCs w:val="21"/>
          <w:lang w:val="en-GB"/>
        </w:rPr>
        <w:t xml:space="preserve">Annexation is one of the ways in which the benefit </w:t>
      </w:r>
      <w:r w:rsidR="0066316E" w:rsidRPr="006A5A63">
        <w:rPr>
          <w:rFonts w:asciiTheme="minorHAnsi" w:hAnsiTheme="minorHAnsi" w:cstheme="minorHAnsi"/>
          <w:sz w:val="21"/>
          <w:szCs w:val="21"/>
          <w:lang w:val="en-GB"/>
        </w:rPr>
        <w:t xml:space="preserve">of a covenant </w:t>
      </w:r>
      <w:r w:rsidRPr="006A5A63">
        <w:rPr>
          <w:rFonts w:asciiTheme="minorHAnsi" w:hAnsiTheme="minorHAnsi" w:cstheme="minorHAnsi"/>
          <w:sz w:val="21"/>
          <w:szCs w:val="21"/>
          <w:lang w:val="en-GB"/>
        </w:rPr>
        <w:t>(</w:t>
      </w:r>
      <w:r w:rsidR="0066316E" w:rsidRPr="006A5A63">
        <w:rPr>
          <w:rFonts w:asciiTheme="minorHAnsi" w:hAnsiTheme="minorHAnsi" w:cstheme="minorHAnsi"/>
          <w:sz w:val="21"/>
          <w:szCs w:val="21"/>
          <w:lang w:val="en-GB"/>
        </w:rPr>
        <w:t xml:space="preserve">including </w:t>
      </w:r>
      <w:r w:rsidRPr="006A5A63">
        <w:rPr>
          <w:rFonts w:asciiTheme="minorHAnsi" w:hAnsiTheme="minorHAnsi" w:cstheme="minorHAnsi"/>
          <w:sz w:val="21"/>
          <w:szCs w:val="21"/>
          <w:lang w:val="en-GB"/>
        </w:rPr>
        <w:t xml:space="preserve">the right to sue) </w:t>
      </w:r>
      <w:r w:rsidR="000562DF" w:rsidRPr="006A5A63">
        <w:rPr>
          <w:rFonts w:asciiTheme="minorHAnsi" w:hAnsiTheme="minorHAnsi" w:cstheme="minorHAnsi"/>
          <w:sz w:val="21"/>
          <w:szCs w:val="21"/>
          <w:lang w:val="en-GB"/>
        </w:rPr>
        <w:t>can be passed to a purchaser of the dominant land</w:t>
      </w:r>
      <w:r w:rsidR="00F37A91" w:rsidRPr="006A5A63">
        <w:rPr>
          <w:rFonts w:asciiTheme="minorHAnsi" w:hAnsiTheme="minorHAnsi" w:cstheme="minorHAnsi"/>
          <w:sz w:val="21"/>
          <w:szCs w:val="21"/>
          <w:lang w:val="en-GB"/>
        </w:rPr>
        <w:t xml:space="preserve">. </w:t>
      </w:r>
      <w:r w:rsidR="00D41C50" w:rsidRPr="006A5A63">
        <w:rPr>
          <w:rFonts w:asciiTheme="minorHAnsi" w:hAnsiTheme="minorHAnsi" w:cstheme="minorHAnsi"/>
          <w:sz w:val="21"/>
          <w:szCs w:val="21"/>
          <w:lang w:val="en-GB"/>
        </w:rPr>
        <w:t xml:space="preserve">The other means are assignment and a building scheme. Each of these methods is explored </w:t>
      </w:r>
      <w:r w:rsidR="00592305" w:rsidRPr="006A5A63">
        <w:rPr>
          <w:rFonts w:asciiTheme="minorHAnsi" w:hAnsiTheme="minorHAnsi" w:cstheme="minorHAnsi"/>
          <w:sz w:val="21"/>
          <w:szCs w:val="21"/>
          <w:lang w:val="en-GB"/>
        </w:rPr>
        <w:t xml:space="preserve">in </w:t>
      </w:r>
      <w:r w:rsidR="00F128B7" w:rsidRPr="006A5A63">
        <w:rPr>
          <w:rFonts w:asciiTheme="minorHAnsi" w:hAnsiTheme="minorHAnsi" w:cstheme="minorHAnsi"/>
          <w:sz w:val="21"/>
          <w:szCs w:val="21"/>
          <w:lang w:val="en-GB"/>
        </w:rPr>
        <w:t>P</w:t>
      </w:r>
      <w:r w:rsidR="00592305" w:rsidRPr="006A5A63">
        <w:rPr>
          <w:rFonts w:asciiTheme="minorHAnsi" w:hAnsiTheme="minorHAnsi" w:cstheme="minorHAnsi"/>
          <w:sz w:val="21"/>
          <w:szCs w:val="21"/>
          <w:lang w:val="en-GB"/>
        </w:rPr>
        <w:t xml:space="preserve">aragraphs </w:t>
      </w:r>
      <w:r w:rsidR="006636A5" w:rsidRPr="006A5A63">
        <w:rPr>
          <w:rFonts w:asciiTheme="minorHAnsi" w:hAnsiTheme="minorHAnsi" w:cstheme="minorHAnsi"/>
          <w:sz w:val="21"/>
          <w:szCs w:val="21"/>
          <w:lang w:val="en-GB"/>
        </w:rPr>
        <w:t>10.26-</w:t>
      </w:r>
      <w:r w:rsidR="00C259DD" w:rsidRPr="006A5A63">
        <w:rPr>
          <w:rFonts w:asciiTheme="minorHAnsi" w:hAnsiTheme="minorHAnsi" w:cstheme="minorHAnsi"/>
          <w:sz w:val="21"/>
          <w:szCs w:val="21"/>
          <w:lang w:val="en-GB"/>
        </w:rPr>
        <w:t>10.43</w:t>
      </w:r>
      <w:r w:rsidR="0072637C" w:rsidRPr="006A5A63">
        <w:rPr>
          <w:rFonts w:asciiTheme="minorHAnsi" w:hAnsiTheme="minorHAnsi" w:cstheme="minorHAnsi"/>
          <w:sz w:val="21"/>
          <w:szCs w:val="21"/>
          <w:lang w:val="en-GB"/>
        </w:rPr>
        <w:t>.</w:t>
      </w:r>
    </w:p>
    <w:p w14:paraId="2F175CC6" w14:textId="2E4EF465" w:rsidR="0072637C" w:rsidRPr="006A5A63" w:rsidRDefault="0072637C" w:rsidP="00D77E19">
      <w:pPr>
        <w:pStyle w:val="q"/>
        <w:spacing w:line="240" w:lineRule="auto"/>
        <w:ind w:firstLine="0"/>
        <w:rPr>
          <w:rFonts w:asciiTheme="minorHAnsi" w:hAnsiTheme="minorHAnsi" w:cstheme="minorHAnsi"/>
          <w:sz w:val="21"/>
          <w:szCs w:val="21"/>
          <w:lang w:val="en-GB"/>
        </w:rPr>
      </w:pPr>
    </w:p>
    <w:p w14:paraId="26027FB7" w14:textId="4F6D641C" w:rsidR="0072637C" w:rsidRPr="006A5A63" w:rsidRDefault="0004480E" w:rsidP="006A5A63">
      <w:pPr>
        <w:pStyle w:val="q"/>
        <w:spacing w:line="240" w:lineRule="auto"/>
        <w:ind w:left="0" w:firstLine="0"/>
        <w:rPr>
          <w:rFonts w:asciiTheme="minorHAnsi" w:hAnsiTheme="minorHAnsi" w:cstheme="minorHAnsi"/>
          <w:sz w:val="21"/>
          <w:szCs w:val="21"/>
          <w:lang w:val="en-GB"/>
        </w:rPr>
      </w:pPr>
      <w:r w:rsidRPr="006A5A63">
        <w:rPr>
          <w:rFonts w:asciiTheme="minorHAnsi" w:hAnsiTheme="minorHAnsi" w:cstheme="minorHAnsi"/>
          <w:sz w:val="21"/>
          <w:szCs w:val="21"/>
          <w:lang w:val="en-GB"/>
        </w:rPr>
        <w:t xml:space="preserve">Annexation provides a once and for all </w:t>
      </w:r>
      <w:r w:rsidR="00D10F67" w:rsidRPr="006A5A63">
        <w:rPr>
          <w:rFonts w:asciiTheme="minorHAnsi" w:hAnsiTheme="minorHAnsi" w:cstheme="minorHAnsi"/>
          <w:sz w:val="21"/>
          <w:szCs w:val="21"/>
          <w:lang w:val="en-GB"/>
        </w:rPr>
        <w:t>attachment of the covenant for the benefit of the owner for the time being of the dominant la</w:t>
      </w:r>
      <w:r w:rsidR="00A163BB" w:rsidRPr="006A5A63">
        <w:rPr>
          <w:rFonts w:asciiTheme="minorHAnsi" w:hAnsiTheme="minorHAnsi" w:cstheme="minorHAnsi"/>
          <w:sz w:val="21"/>
          <w:szCs w:val="21"/>
          <w:lang w:val="en-GB"/>
        </w:rPr>
        <w:t>nd</w:t>
      </w:r>
      <w:r w:rsidR="00D10F67" w:rsidRPr="006A5A63">
        <w:rPr>
          <w:rFonts w:asciiTheme="minorHAnsi" w:hAnsiTheme="minorHAnsi" w:cstheme="minorHAnsi"/>
          <w:sz w:val="21"/>
          <w:szCs w:val="21"/>
          <w:lang w:val="en-GB"/>
        </w:rPr>
        <w:t xml:space="preserve">. </w:t>
      </w:r>
      <w:r w:rsidR="007646B0" w:rsidRPr="006A5A63">
        <w:rPr>
          <w:rFonts w:asciiTheme="minorHAnsi" w:hAnsiTheme="minorHAnsi" w:cstheme="minorHAnsi"/>
          <w:sz w:val="21"/>
          <w:szCs w:val="21"/>
          <w:lang w:val="en-GB"/>
        </w:rPr>
        <w:t xml:space="preserve"> </w:t>
      </w:r>
      <w:r w:rsidR="00E333B8" w:rsidRPr="006A5A63">
        <w:rPr>
          <w:rFonts w:asciiTheme="minorHAnsi" w:hAnsiTheme="minorHAnsi" w:cstheme="minorHAnsi"/>
          <w:sz w:val="21"/>
          <w:szCs w:val="21"/>
          <w:lang w:val="en-GB"/>
        </w:rPr>
        <w:t xml:space="preserve">An express annexation, for instance, </w:t>
      </w:r>
      <w:r w:rsidR="008967B6" w:rsidRPr="006A5A63">
        <w:rPr>
          <w:rFonts w:asciiTheme="minorHAnsi" w:hAnsiTheme="minorHAnsi" w:cstheme="minorHAnsi"/>
          <w:sz w:val="21"/>
          <w:szCs w:val="21"/>
          <w:lang w:val="en-GB"/>
        </w:rPr>
        <w:t>is achieved in the drafting of the covenant itself</w:t>
      </w:r>
      <w:r w:rsidR="00706FF3" w:rsidRPr="006A5A63">
        <w:rPr>
          <w:rFonts w:asciiTheme="minorHAnsi" w:hAnsiTheme="minorHAnsi" w:cstheme="minorHAnsi"/>
          <w:sz w:val="21"/>
          <w:szCs w:val="21"/>
          <w:lang w:val="en-GB"/>
        </w:rPr>
        <w:t xml:space="preserve">. The wording of the covenant </w:t>
      </w:r>
      <w:r w:rsidR="00B8171E" w:rsidRPr="006A5A63">
        <w:rPr>
          <w:rFonts w:asciiTheme="minorHAnsi" w:hAnsiTheme="minorHAnsi" w:cstheme="minorHAnsi"/>
          <w:sz w:val="21"/>
          <w:szCs w:val="21"/>
          <w:lang w:val="en-GB"/>
        </w:rPr>
        <w:t>must</w:t>
      </w:r>
      <w:r w:rsidR="008967B6" w:rsidRPr="006A5A63">
        <w:rPr>
          <w:rFonts w:asciiTheme="minorHAnsi" w:hAnsiTheme="minorHAnsi" w:cstheme="minorHAnsi"/>
          <w:sz w:val="21"/>
          <w:szCs w:val="21"/>
          <w:lang w:val="en-GB"/>
        </w:rPr>
        <w:t xml:space="preserve"> demonstrate an intention </w:t>
      </w:r>
      <w:r w:rsidR="0028413E" w:rsidRPr="006A5A63">
        <w:rPr>
          <w:rFonts w:asciiTheme="minorHAnsi" w:hAnsiTheme="minorHAnsi" w:cstheme="minorHAnsi"/>
          <w:sz w:val="21"/>
          <w:szCs w:val="21"/>
          <w:lang w:val="en-GB"/>
        </w:rPr>
        <w:t xml:space="preserve">that </w:t>
      </w:r>
      <w:r w:rsidR="00853C84" w:rsidRPr="006A5A63">
        <w:rPr>
          <w:rFonts w:asciiTheme="minorHAnsi" w:hAnsiTheme="minorHAnsi" w:cstheme="minorHAnsi"/>
          <w:sz w:val="21"/>
          <w:szCs w:val="21"/>
          <w:lang w:val="en-GB"/>
        </w:rPr>
        <w:t xml:space="preserve">the owner for the time being of </w:t>
      </w:r>
      <w:r w:rsidR="00485C42" w:rsidRPr="006A5A63">
        <w:rPr>
          <w:rFonts w:asciiTheme="minorHAnsi" w:hAnsiTheme="minorHAnsi" w:cstheme="minorHAnsi"/>
          <w:sz w:val="21"/>
          <w:szCs w:val="21"/>
          <w:lang w:val="en-GB"/>
        </w:rPr>
        <w:t>the dominant land</w:t>
      </w:r>
      <w:r w:rsidR="006163A4" w:rsidRPr="006A5A63">
        <w:rPr>
          <w:rFonts w:asciiTheme="minorHAnsi" w:hAnsiTheme="minorHAnsi" w:cstheme="minorHAnsi"/>
          <w:sz w:val="21"/>
          <w:szCs w:val="21"/>
          <w:lang w:val="en-GB"/>
        </w:rPr>
        <w:t xml:space="preserve"> </w:t>
      </w:r>
      <w:r w:rsidR="002A237D" w:rsidRPr="006A5A63">
        <w:rPr>
          <w:rFonts w:asciiTheme="minorHAnsi" w:hAnsiTheme="minorHAnsi" w:cstheme="minorHAnsi"/>
          <w:sz w:val="21"/>
          <w:szCs w:val="21"/>
          <w:lang w:val="en-GB"/>
        </w:rPr>
        <w:t xml:space="preserve">is entitled to </w:t>
      </w:r>
      <w:r w:rsidR="00BC6692" w:rsidRPr="006A5A63">
        <w:rPr>
          <w:rFonts w:asciiTheme="minorHAnsi" w:hAnsiTheme="minorHAnsi" w:cstheme="minorHAnsi"/>
          <w:sz w:val="21"/>
          <w:szCs w:val="21"/>
          <w:lang w:val="en-GB"/>
        </w:rPr>
        <w:t xml:space="preserve">rely upon the covenant to sue the </w:t>
      </w:r>
      <w:r w:rsidR="003377BA" w:rsidRPr="006A5A63">
        <w:rPr>
          <w:rFonts w:asciiTheme="minorHAnsi" w:hAnsiTheme="minorHAnsi" w:cstheme="minorHAnsi"/>
          <w:sz w:val="21"/>
          <w:szCs w:val="21"/>
          <w:lang w:val="en-GB"/>
        </w:rPr>
        <w:t xml:space="preserve">servient owner in the event of breach. </w:t>
      </w:r>
      <w:r w:rsidR="006163A4" w:rsidRPr="006A5A63">
        <w:rPr>
          <w:rFonts w:asciiTheme="minorHAnsi" w:hAnsiTheme="minorHAnsi" w:cstheme="minorHAnsi"/>
          <w:sz w:val="21"/>
          <w:szCs w:val="21"/>
          <w:lang w:val="en-GB"/>
        </w:rPr>
        <w:t>Given that the dominant land might be split up</w:t>
      </w:r>
      <w:r w:rsidR="00430A58" w:rsidRPr="006A5A63">
        <w:rPr>
          <w:rFonts w:asciiTheme="minorHAnsi" w:hAnsiTheme="minorHAnsi" w:cstheme="minorHAnsi"/>
          <w:sz w:val="21"/>
          <w:szCs w:val="21"/>
          <w:lang w:val="en-GB"/>
        </w:rPr>
        <w:t xml:space="preserve"> and come into the ownership of a number of different people</w:t>
      </w:r>
      <w:r w:rsidR="006163A4" w:rsidRPr="006A5A63">
        <w:rPr>
          <w:rFonts w:asciiTheme="minorHAnsi" w:hAnsiTheme="minorHAnsi" w:cstheme="minorHAnsi"/>
          <w:sz w:val="21"/>
          <w:szCs w:val="21"/>
          <w:lang w:val="en-GB"/>
        </w:rPr>
        <w:t xml:space="preserve">, it is important </w:t>
      </w:r>
      <w:r w:rsidR="00BC331E" w:rsidRPr="006A5A63">
        <w:rPr>
          <w:rFonts w:asciiTheme="minorHAnsi" w:hAnsiTheme="minorHAnsi" w:cstheme="minorHAnsi"/>
          <w:sz w:val="21"/>
          <w:szCs w:val="21"/>
          <w:lang w:val="en-GB"/>
        </w:rPr>
        <w:t xml:space="preserve">that </w:t>
      </w:r>
      <w:r w:rsidR="00A22759" w:rsidRPr="006A5A63">
        <w:rPr>
          <w:rFonts w:asciiTheme="minorHAnsi" w:hAnsiTheme="minorHAnsi" w:cstheme="minorHAnsi"/>
          <w:sz w:val="21"/>
          <w:szCs w:val="21"/>
          <w:lang w:val="en-GB"/>
        </w:rPr>
        <w:t xml:space="preserve">the </w:t>
      </w:r>
      <w:r w:rsidR="00A00D5B" w:rsidRPr="006A5A63">
        <w:rPr>
          <w:rFonts w:asciiTheme="minorHAnsi" w:hAnsiTheme="minorHAnsi" w:cstheme="minorHAnsi"/>
          <w:sz w:val="21"/>
          <w:szCs w:val="21"/>
          <w:lang w:val="en-GB"/>
        </w:rPr>
        <w:t xml:space="preserve">physical </w:t>
      </w:r>
      <w:r w:rsidR="00A22759" w:rsidRPr="006A5A63">
        <w:rPr>
          <w:rFonts w:asciiTheme="minorHAnsi" w:hAnsiTheme="minorHAnsi" w:cstheme="minorHAnsi"/>
          <w:sz w:val="21"/>
          <w:szCs w:val="21"/>
          <w:lang w:val="en-GB"/>
        </w:rPr>
        <w:t xml:space="preserve">extent of the dominant land </w:t>
      </w:r>
      <w:r w:rsidR="008137A8" w:rsidRPr="006A5A63">
        <w:rPr>
          <w:rFonts w:asciiTheme="minorHAnsi" w:hAnsiTheme="minorHAnsi" w:cstheme="minorHAnsi"/>
          <w:sz w:val="21"/>
          <w:szCs w:val="21"/>
          <w:lang w:val="en-GB"/>
        </w:rPr>
        <w:t xml:space="preserve">can be ascertained </w:t>
      </w:r>
      <w:r w:rsidR="00C457B7" w:rsidRPr="006A5A63">
        <w:rPr>
          <w:rFonts w:asciiTheme="minorHAnsi" w:hAnsiTheme="minorHAnsi" w:cstheme="minorHAnsi"/>
          <w:sz w:val="21"/>
          <w:szCs w:val="21"/>
          <w:lang w:val="en-GB"/>
        </w:rPr>
        <w:t xml:space="preserve">from the wording of the covenant. </w:t>
      </w:r>
    </w:p>
    <w:p w14:paraId="32A657D8" w14:textId="3284D2DC" w:rsidR="0041321A" w:rsidRPr="006A5A63" w:rsidRDefault="0041321A" w:rsidP="00D77E19">
      <w:pPr>
        <w:pStyle w:val="q"/>
        <w:spacing w:line="240" w:lineRule="auto"/>
        <w:ind w:firstLine="0"/>
        <w:rPr>
          <w:rFonts w:asciiTheme="minorHAnsi" w:hAnsiTheme="minorHAnsi" w:cstheme="minorHAnsi"/>
          <w:sz w:val="21"/>
          <w:szCs w:val="21"/>
          <w:lang w:val="en-GB"/>
        </w:rPr>
      </w:pPr>
    </w:p>
    <w:p w14:paraId="68E0D447" w14:textId="5B85E5CD" w:rsidR="008249DD" w:rsidRPr="006A5A63" w:rsidRDefault="0041321A" w:rsidP="006A5A63">
      <w:pPr>
        <w:pStyle w:val="q"/>
        <w:spacing w:line="240" w:lineRule="auto"/>
        <w:ind w:left="0" w:firstLine="0"/>
        <w:rPr>
          <w:rFonts w:asciiTheme="minorHAnsi" w:hAnsiTheme="minorHAnsi" w:cstheme="minorHAnsi"/>
          <w:sz w:val="21"/>
          <w:szCs w:val="21"/>
          <w:lang w:val="en-GB"/>
        </w:rPr>
      </w:pPr>
      <w:r w:rsidRPr="006A5A63">
        <w:rPr>
          <w:rFonts w:asciiTheme="minorHAnsi" w:hAnsiTheme="minorHAnsi" w:cstheme="minorHAnsi"/>
          <w:sz w:val="21"/>
          <w:szCs w:val="21"/>
          <w:lang w:val="en-GB"/>
        </w:rPr>
        <w:t xml:space="preserve">It was held in </w:t>
      </w:r>
      <w:r w:rsidRPr="006A5A63">
        <w:rPr>
          <w:rFonts w:asciiTheme="minorHAnsi" w:hAnsiTheme="minorHAnsi" w:cstheme="minorHAnsi"/>
          <w:i/>
          <w:iCs/>
          <w:sz w:val="21"/>
          <w:szCs w:val="21"/>
          <w:lang w:val="en-GB"/>
        </w:rPr>
        <w:t xml:space="preserve">Federated Home </w:t>
      </w:r>
      <w:r w:rsidR="003000D9" w:rsidRPr="006A5A63">
        <w:rPr>
          <w:rFonts w:asciiTheme="minorHAnsi" w:hAnsiTheme="minorHAnsi" w:cstheme="minorHAnsi"/>
          <w:i/>
          <w:iCs/>
          <w:sz w:val="21"/>
          <w:szCs w:val="21"/>
          <w:lang w:val="en-GB"/>
        </w:rPr>
        <w:t xml:space="preserve">Ltd </w:t>
      </w:r>
      <w:r w:rsidRPr="006A5A63">
        <w:rPr>
          <w:rFonts w:asciiTheme="minorHAnsi" w:hAnsiTheme="minorHAnsi" w:cstheme="minorHAnsi"/>
          <w:i/>
          <w:iCs/>
          <w:sz w:val="21"/>
          <w:szCs w:val="21"/>
          <w:lang w:val="en-GB"/>
        </w:rPr>
        <w:t>v Mill Lodge Properties</w:t>
      </w:r>
      <w:r w:rsidR="00614901" w:rsidRPr="006A5A63">
        <w:rPr>
          <w:rFonts w:asciiTheme="minorHAnsi" w:hAnsiTheme="minorHAnsi" w:cstheme="minorHAnsi"/>
          <w:i/>
          <w:iCs/>
          <w:sz w:val="21"/>
          <w:szCs w:val="21"/>
          <w:lang w:val="en-GB"/>
        </w:rPr>
        <w:t xml:space="preserve"> Ltd</w:t>
      </w:r>
      <w:r w:rsidRPr="006A5A63">
        <w:rPr>
          <w:rFonts w:asciiTheme="minorHAnsi" w:hAnsiTheme="minorHAnsi" w:cstheme="minorHAnsi"/>
          <w:i/>
          <w:iCs/>
          <w:sz w:val="21"/>
          <w:szCs w:val="21"/>
          <w:lang w:val="en-GB"/>
        </w:rPr>
        <w:t xml:space="preserve"> </w:t>
      </w:r>
      <w:r w:rsidRPr="006A5A63">
        <w:rPr>
          <w:rFonts w:asciiTheme="minorHAnsi" w:hAnsiTheme="minorHAnsi" w:cstheme="minorHAnsi"/>
          <w:sz w:val="21"/>
          <w:szCs w:val="21"/>
          <w:lang w:val="en-GB"/>
        </w:rPr>
        <w:t xml:space="preserve">that </w:t>
      </w:r>
      <w:r w:rsidR="00C43DCC" w:rsidRPr="006A5A63">
        <w:rPr>
          <w:rFonts w:asciiTheme="minorHAnsi" w:hAnsiTheme="minorHAnsi" w:cstheme="minorHAnsi"/>
          <w:sz w:val="21"/>
          <w:szCs w:val="21"/>
          <w:lang w:val="en-GB"/>
        </w:rPr>
        <w:t xml:space="preserve">section 78 LPA 1925 </w:t>
      </w:r>
      <w:r w:rsidR="0085520C" w:rsidRPr="006A5A63">
        <w:rPr>
          <w:rFonts w:asciiTheme="minorHAnsi" w:hAnsiTheme="minorHAnsi" w:cstheme="minorHAnsi"/>
          <w:sz w:val="21"/>
          <w:szCs w:val="21"/>
          <w:lang w:val="en-GB"/>
        </w:rPr>
        <w:t xml:space="preserve">had the effect of automatically </w:t>
      </w:r>
      <w:r w:rsidR="001350A7" w:rsidRPr="006A5A63">
        <w:rPr>
          <w:rFonts w:asciiTheme="minorHAnsi" w:hAnsiTheme="minorHAnsi" w:cstheme="minorHAnsi"/>
          <w:sz w:val="21"/>
          <w:szCs w:val="21"/>
          <w:lang w:val="en-GB"/>
        </w:rPr>
        <w:t>annexing the benefit of the covenant to the dominant land</w:t>
      </w:r>
      <w:r w:rsidR="003D57C8" w:rsidRPr="006A5A63">
        <w:rPr>
          <w:rFonts w:asciiTheme="minorHAnsi" w:hAnsiTheme="minorHAnsi" w:cstheme="minorHAnsi"/>
          <w:sz w:val="21"/>
          <w:szCs w:val="21"/>
          <w:lang w:val="en-GB"/>
        </w:rPr>
        <w:t xml:space="preserve"> in the absence of express words. </w:t>
      </w:r>
      <w:r w:rsidR="00E04F12" w:rsidRPr="006A5A63">
        <w:rPr>
          <w:rFonts w:asciiTheme="minorHAnsi" w:hAnsiTheme="minorHAnsi" w:cstheme="minorHAnsi"/>
          <w:sz w:val="21"/>
          <w:szCs w:val="21"/>
          <w:lang w:val="en-GB"/>
        </w:rPr>
        <w:t>The decision was controversial, sparking debate amongst conveyancing experts</w:t>
      </w:r>
      <w:r w:rsidR="004F14E3" w:rsidRPr="006A5A63">
        <w:rPr>
          <w:rFonts w:asciiTheme="minorHAnsi" w:hAnsiTheme="minorHAnsi" w:cstheme="minorHAnsi"/>
          <w:sz w:val="21"/>
          <w:szCs w:val="21"/>
          <w:lang w:val="en-GB"/>
        </w:rPr>
        <w:t xml:space="preserve">. The case and </w:t>
      </w:r>
      <w:r w:rsidR="005A0F2A" w:rsidRPr="006A5A63">
        <w:rPr>
          <w:rFonts w:asciiTheme="minorHAnsi" w:hAnsiTheme="minorHAnsi" w:cstheme="minorHAnsi"/>
          <w:sz w:val="21"/>
          <w:szCs w:val="21"/>
          <w:lang w:val="en-GB"/>
        </w:rPr>
        <w:t>the</w:t>
      </w:r>
      <w:r w:rsidR="00241095" w:rsidRPr="006A5A63">
        <w:rPr>
          <w:rFonts w:asciiTheme="minorHAnsi" w:hAnsiTheme="minorHAnsi" w:cstheme="minorHAnsi"/>
          <w:sz w:val="21"/>
          <w:szCs w:val="21"/>
          <w:lang w:val="en-GB"/>
        </w:rPr>
        <w:t xml:space="preserve"> contr</w:t>
      </w:r>
      <w:r w:rsidR="00683A60" w:rsidRPr="006A5A63">
        <w:rPr>
          <w:rFonts w:asciiTheme="minorHAnsi" w:hAnsiTheme="minorHAnsi" w:cstheme="minorHAnsi"/>
          <w:sz w:val="21"/>
          <w:szCs w:val="21"/>
          <w:lang w:val="en-GB"/>
        </w:rPr>
        <w:t>o</w:t>
      </w:r>
      <w:r w:rsidR="00241095" w:rsidRPr="006A5A63">
        <w:rPr>
          <w:rFonts w:asciiTheme="minorHAnsi" w:hAnsiTheme="minorHAnsi" w:cstheme="minorHAnsi"/>
          <w:sz w:val="21"/>
          <w:szCs w:val="21"/>
          <w:lang w:val="en-GB"/>
        </w:rPr>
        <w:t xml:space="preserve">versy </w:t>
      </w:r>
      <w:r w:rsidR="005A0F2A" w:rsidRPr="006A5A63">
        <w:rPr>
          <w:rFonts w:asciiTheme="minorHAnsi" w:hAnsiTheme="minorHAnsi" w:cstheme="minorHAnsi"/>
          <w:sz w:val="21"/>
          <w:szCs w:val="21"/>
          <w:lang w:val="en-GB"/>
        </w:rPr>
        <w:t>surrounding it are</w:t>
      </w:r>
      <w:r w:rsidR="00241095" w:rsidRPr="006A5A63">
        <w:rPr>
          <w:rFonts w:asciiTheme="minorHAnsi" w:hAnsiTheme="minorHAnsi" w:cstheme="minorHAnsi"/>
          <w:sz w:val="21"/>
          <w:szCs w:val="21"/>
          <w:lang w:val="en-GB"/>
        </w:rPr>
        <w:t xml:space="preserve"> examined in </w:t>
      </w:r>
      <w:r w:rsidR="00C52BB3" w:rsidRPr="006A5A63">
        <w:rPr>
          <w:rFonts w:asciiTheme="minorHAnsi" w:hAnsiTheme="minorHAnsi" w:cstheme="minorHAnsi"/>
          <w:sz w:val="21"/>
          <w:szCs w:val="21"/>
          <w:lang w:val="en-GB"/>
        </w:rPr>
        <w:t>P</w:t>
      </w:r>
      <w:r w:rsidR="00241095" w:rsidRPr="006A5A63">
        <w:rPr>
          <w:rFonts w:asciiTheme="minorHAnsi" w:hAnsiTheme="minorHAnsi" w:cstheme="minorHAnsi"/>
          <w:sz w:val="21"/>
          <w:szCs w:val="21"/>
          <w:lang w:val="en-GB"/>
        </w:rPr>
        <w:t xml:space="preserve">aragraphs </w:t>
      </w:r>
      <w:r w:rsidR="009D5FED" w:rsidRPr="006A5A63">
        <w:rPr>
          <w:rFonts w:asciiTheme="minorHAnsi" w:hAnsiTheme="minorHAnsi" w:cstheme="minorHAnsi"/>
          <w:sz w:val="21"/>
          <w:szCs w:val="21"/>
          <w:lang w:val="en-GB"/>
        </w:rPr>
        <w:t>10.34-</w:t>
      </w:r>
      <w:r w:rsidR="00683A60" w:rsidRPr="006A5A63">
        <w:rPr>
          <w:rFonts w:asciiTheme="minorHAnsi" w:hAnsiTheme="minorHAnsi" w:cstheme="minorHAnsi"/>
          <w:sz w:val="21"/>
          <w:szCs w:val="21"/>
          <w:lang w:val="en-GB"/>
        </w:rPr>
        <w:t>10.37</w:t>
      </w:r>
      <w:r w:rsidR="007B1EFA" w:rsidRPr="006A5A63">
        <w:rPr>
          <w:rFonts w:asciiTheme="minorHAnsi" w:hAnsiTheme="minorHAnsi" w:cstheme="minorHAnsi"/>
          <w:sz w:val="21"/>
          <w:szCs w:val="21"/>
          <w:lang w:val="en-GB"/>
        </w:rPr>
        <w:t xml:space="preserve">. </w:t>
      </w:r>
      <w:r w:rsidR="001350A7" w:rsidRPr="006A5A63">
        <w:rPr>
          <w:rFonts w:asciiTheme="minorHAnsi" w:hAnsiTheme="minorHAnsi" w:cstheme="minorHAnsi"/>
          <w:sz w:val="21"/>
          <w:szCs w:val="21"/>
          <w:lang w:val="en-GB"/>
        </w:rPr>
        <w:t xml:space="preserve"> </w:t>
      </w:r>
    </w:p>
    <w:p w14:paraId="4A2F7025" w14:textId="77777777" w:rsidR="00417933" w:rsidRPr="006A5A63" w:rsidRDefault="00417933" w:rsidP="00D77E19">
      <w:pPr>
        <w:pStyle w:val="q"/>
        <w:spacing w:line="240" w:lineRule="auto"/>
        <w:ind w:firstLine="0"/>
        <w:rPr>
          <w:rFonts w:asciiTheme="minorHAnsi" w:hAnsiTheme="minorHAnsi" w:cstheme="minorHAnsi"/>
          <w:sz w:val="21"/>
          <w:szCs w:val="21"/>
          <w:lang w:val="en-GB"/>
        </w:rPr>
      </w:pPr>
    </w:p>
    <w:p w14:paraId="09C3452B" w14:textId="5E5F21A9" w:rsidR="008249DD" w:rsidRPr="006A5A63" w:rsidRDefault="00600037" w:rsidP="006A5A63">
      <w:pPr>
        <w:spacing w:after="0" w:line="240" w:lineRule="auto"/>
        <w:jc w:val="both"/>
        <w:rPr>
          <w:rFonts w:cs="Arial"/>
          <w:sz w:val="21"/>
          <w:szCs w:val="21"/>
        </w:rPr>
      </w:pPr>
      <w:r w:rsidRPr="006A5A63">
        <w:rPr>
          <w:rFonts w:cstheme="minorHAnsi"/>
          <w:sz w:val="21"/>
          <w:szCs w:val="21"/>
        </w:rPr>
        <w:t>The</w:t>
      </w:r>
      <w:r w:rsidR="001D5C74" w:rsidRPr="006A5A63">
        <w:rPr>
          <w:rFonts w:cstheme="minorHAnsi"/>
          <w:sz w:val="21"/>
          <w:szCs w:val="21"/>
        </w:rPr>
        <w:t xml:space="preserve"> controversy </w:t>
      </w:r>
      <w:r w:rsidR="00381F9E" w:rsidRPr="006A5A63">
        <w:rPr>
          <w:rFonts w:cstheme="minorHAnsi"/>
          <w:sz w:val="21"/>
          <w:szCs w:val="21"/>
        </w:rPr>
        <w:t xml:space="preserve">centres on comparison </w:t>
      </w:r>
      <w:r w:rsidR="007E7D29" w:rsidRPr="006A5A63">
        <w:rPr>
          <w:rFonts w:cstheme="minorHAnsi"/>
          <w:sz w:val="21"/>
          <w:szCs w:val="21"/>
        </w:rPr>
        <w:t xml:space="preserve">between section 78 </w:t>
      </w:r>
      <w:r w:rsidR="001550A5" w:rsidRPr="006A5A63">
        <w:rPr>
          <w:rFonts w:cstheme="minorHAnsi"/>
          <w:sz w:val="21"/>
          <w:szCs w:val="21"/>
        </w:rPr>
        <w:t xml:space="preserve">and </w:t>
      </w:r>
      <w:r w:rsidR="00E619C1" w:rsidRPr="006A5A63">
        <w:rPr>
          <w:rFonts w:cstheme="minorHAnsi"/>
          <w:sz w:val="21"/>
          <w:szCs w:val="21"/>
        </w:rPr>
        <w:t>section 79 LPA 1925 which provides that the burden of a covenant is intended to run, unless a contrary intention is expressed</w:t>
      </w:r>
      <w:r w:rsidR="003720A5" w:rsidRPr="006A5A63">
        <w:rPr>
          <w:rFonts w:cstheme="minorHAnsi"/>
          <w:sz w:val="21"/>
          <w:szCs w:val="21"/>
        </w:rPr>
        <w:t xml:space="preserve">. This provision </w:t>
      </w:r>
      <w:r w:rsidR="00CB4A34" w:rsidRPr="006A5A63">
        <w:rPr>
          <w:rFonts w:cstheme="minorHAnsi"/>
          <w:sz w:val="21"/>
          <w:szCs w:val="21"/>
        </w:rPr>
        <w:t>has been much more restrictively construed by the court</w:t>
      </w:r>
      <w:r w:rsidR="00ED08DC" w:rsidRPr="006A5A63">
        <w:rPr>
          <w:rFonts w:cstheme="minorHAnsi"/>
          <w:sz w:val="21"/>
          <w:szCs w:val="21"/>
        </w:rPr>
        <w:t>s</w:t>
      </w:r>
      <w:r w:rsidR="006F78C0" w:rsidRPr="006A5A63">
        <w:rPr>
          <w:rFonts w:cstheme="minorHAnsi"/>
          <w:sz w:val="21"/>
          <w:szCs w:val="21"/>
        </w:rPr>
        <w:t xml:space="preserve"> so it does </w:t>
      </w:r>
      <w:r w:rsidR="00E619C1" w:rsidRPr="006A5A63">
        <w:rPr>
          <w:rFonts w:cstheme="minorHAnsi"/>
          <w:sz w:val="21"/>
          <w:szCs w:val="21"/>
        </w:rPr>
        <w:t xml:space="preserve">not </w:t>
      </w:r>
      <w:r w:rsidR="00303F38" w:rsidRPr="006A5A63">
        <w:rPr>
          <w:rFonts w:cstheme="minorHAnsi"/>
          <w:sz w:val="21"/>
          <w:szCs w:val="21"/>
        </w:rPr>
        <w:t>(</w:t>
      </w:r>
      <w:r w:rsidR="00E619C1" w:rsidRPr="006A5A63">
        <w:rPr>
          <w:rFonts w:cstheme="minorHAnsi"/>
          <w:sz w:val="21"/>
          <w:szCs w:val="21"/>
        </w:rPr>
        <w:t>by itself</w:t>
      </w:r>
      <w:r w:rsidR="00303F38" w:rsidRPr="006A5A63">
        <w:rPr>
          <w:rFonts w:cstheme="minorHAnsi"/>
          <w:sz w:val="21"/>
          <w:szCs w:val="21"/>
        </w:rPr>
        <w:t>)</w:t>
      </w:r>
      <w:r w:rsidR="00E619C1" w:rsidRPr="006A5A63">
        <w:rPr>
          <w:rFonts w:cstheme="minorHAnsi"/>
          <w:sz w:val="21"/>
          <w:szCs w:val="21"/>
        </w:rPr>
        <w:t xml:space="preserve"> achieve the automatic </w:t>
      </w:r>
      <w:r w:rsidR="00250D52" w:rsidRPr="006A5A63">
        <w:rPr>
          <w:rFonts w:cstheme="minorHAnsi"/>
          <w:sz w:val="21"/>
          <w:szCs w:val="21"/>
        </w:rPr>
        <w:t>passing of the burden</w:t>
      </w:r>
      <w:r w:rsidR="001D5E9B" w:rsidRPr="006A5A63">
        <w:rPr>
          <w:rFonts w:cstheme="minorHAnsi"/>
          <w:sz w:val="21"/>
          <w:szCs w:val="21"/>
        </w:rPr>
        <w:t xml:space="preserve"> – see</w:t>
      </w:r>
      <w:r w:rsidR="001E295B" w:rsidRPr="006A5A63">
        <w:rPr>
          <w:rFonts w:cstheme="minorHAnsi"/>
          <w:sz w:val="21"/>
          <w:szCs w:val="21"/>
        </w:rPr>
        <w:t xml:space="preserve"> </w:t>
      </w:r>
      <w:r w:rsidR="00ED08DC" w:rsidRPr="006A5A63">
        <w:rPr>
          <w:rFonts w:cstheme="minorHAnsi"/>
          <w:sz w:val="21"/>
          <w:szCs w:val="21"/>
        </w:rPr>
        <w:t>P</w:t>
      </w:r>
      <w:r w:rsidR="00EB444D" w:rsidRPr="006A5A63">
        <w:rPr>
          <w:rFonts w:cstheme="minorHAnsi"/>
          <w:sz w:val="21"/>
          <w:szCs w:val="21"/>
        </w:rPr>
        <w:t xml:space="preserve">aragraphs </w:t>
      </w:r>
      <w:r w:rsidR="00BF7C46" w:rsidRPr="006A5A63">
        <w:rPr>
          <w:rFonts w:cstheme="minorHAnsi"/>
          <w:sz w:val="21"/>
          <w:szCs w:val="21"/>
        </w:rPr>
        <w:t>10.8-10.9.</w:t>
      </w:r>
      <w:r w:rsidR="001D5E9B" w:rsidRPr="006A5A63">
        <w:rPr>
          <w:rFonts w:cstheme="minorHAnsi"/>
          <w:sz w:val="21"/>
          <w:szCs w:val="21"/>
        </w:rPr>
        <w:t xml:space="preserve"> </w:t>
      </w:r>
      <w:r w:rsidR="00CB784F" w:rsidRPr="006A5A63">
        <w:rPr>
          <w:rFonts w:cstheme="minorHAnsi"/>
          <w:sz w:val="21"/>
          <w:szCs w:val="21"/>
        </w:rPr>
        <w:t xml:space="preserve">Some commentators have argued </w:t>
      </w:r>
      <w:r w:rsidR="008249DD" w:rsidRPr="006A5A63">
        <w:rPr>
          <w:rFonts w:cs="Arial"/>
          <w:sz w:val="21"/>
          <w:szCs w:val="21"/>
        </w:rPr>
        <w:t xml:space="preserve">that section 78, like section 79, should </w:t>
      </w:r>
      <w:r w:rsidR="00634631" w:rsidRPr="006A5A63">
        <w:rPr>
          <w:rFonts w:cs="Arial"/>
          <w:sz w:val="21"/>
          <w:szCs w:val="21"/>
        </w:rPr>
        <w:t xml:space="preserve">have been </w:t>
      </w:r>
      <w:r w:rsidR="006E6D33" w:rsidRPr="006A5A63">
        <w:rPr>
          <w:rFonts w:cs="Arial"/>
          <w:sz w:val="21"/>
          <w:szCs w:val="21"/>
        </w:rPr>
        <w:t>restrictive</w:t>
      </w:r>
      <w:r w:rsidR="00634631" w:rsidRPr="006A5A63">
        <w:rPr>
          <w:rFonts w:cs="Arial"/>
          <w:sz w:val="21"/>
          <w:szCs w:val="21"/>
        </w:rPr>
        <w:t>ly</w:t>
      </w:r>
      <w:r w:rsidR="006E6D33" w:rsidRPr="006A5A63">
        <w:rPr>
          <w:rFonts w:cs="Arial"/>
          <w:sz w:val="21"/>
          <w:szCs w:val="21"/>
        </w:rPr>
        <w:t xml:space="preserve"> </w:t>
      </w:r>
      <w:r w:rsidR="00634631" w:rsidRPr="006A5A63">
        <w:rPr>
          <w:rFonts w:cs="Arial"/>
          <w:sz w:val="21"/>
          <w:szCs w:val="21"/>
        </w:rPr>
        <w:t>construed as well</w:t>
      </w:r>
      <w:r w:rsidR="00C16DEA" w:rsidRPr="006A5A63">
        <w:rPr>
          <w:rFonts w:cs="Arial"/>
          <w:sz w:val="21"/>
          <w:szCs w:val="21"/>
        </w:rPr>
        <w:t>. T</w:t>
      </w:r>
      <w:r w:rsidR="008249DD" w:rsidRPr="006A5A63">
        <w:rPr>
          <w:rFonts w:cs="Arial"/>
          <w:sz w:val="21"/>
          <w:szCs w:val="21"/>
        </w:rPr>
        <w:t>he supporters of statutory annexation point out that the two sections are worded differently. In addition</w:t>
      </w:r>
      <w:r w:rsidR="00ED08DC" w:rsidRPr="006A5A63">
        <w:rPr>
          <w:rFonts w:cs="Arial"/>
          <w:sz w:val="21"/>
          <w:szCs w:val="21"/>
        </w:rPr>
        <w:t>,</w:t>
      </w:r>
      <w:r w:rsidR="008249DD" w:rsidRPr="006A5A63">
        <w:rPr>
          <w:rFonts w:cs="Arial"/>
          <w:sz w:val="21"/>
          <w:szCs w:val="21"/>
        </w:rPr>
        <w:t xml:space="preserve"> section 78 is not expressly subject to a contrary intention, whilst section 79 is. However</w:t>
      </w:r>
      <w:r w:rsidR="00ED08DC" w:rsidRPr="006A5A63">
        <w:rPr>
          <w:rFonts w:cs="Arial"/>
          <w:sz w:val="21"/>
          <w:szCs w:val="21"/>
        </w:rPr>
        <w:t>,</w:t>
      </w:r>
      <w:r w:rsidR="008249DD" w:rsidRPr="006A5A63">
        <w:rPr>
          <w:rFonts w:cs="Arial"/>
          <w:sz w:val="21"/>
          <w:szCs w:val="21"/>
        </w:rPr>
        <w:t xml:space="preserve"> the courts have made clear that the benefit of a covenant will not pass to </w:t>
      </w:r>
      <w:r w:rsidR="00C10EC7" w:rsidRPr="006A5A63">
        <w:rPr>
          <w:rFonts w:cs="Arial"/>
          <w:sz w:val="21"/>
          <w:szCs w:val="21"/>
        </w:rPr>
        <w:t>those</w:t>
      </w:r>
      <w:r w:rsidR="008249DD" w:rsidRPr="006A5A63">
        <w:rPr>
          <w:rFonts w:cs="Arial"/>
          <w:sz w:val="21"/>
          <w:szCs w:val="21"/>
        </w:rPr>
        <w:t xml:space="preserve"> who are not intended to benefit – see </w:t>
      </w:r>
      <w:proofErr w:type="spellStart"/>
      <w:r w:rsidR="008249DD" w:rsidRPr="006A5A63">
        <w:rPr>
          <w:rFonts w:cs="Arial"/>
          <w:i/>
          <w:sz w:val="21"/>
          <w:szCs w:val="21"/>
        </w:rPr>
        <w:t>Roake</w:t>
      </w:r>
      <w:proofErr w:type="spellEnd"/>
      <w:r w:rsidR="008249DD" w:rsidRPr="006A5A63">
        <w:rPr>
          <w:rFonts w:cs="Arial"/>
          <w:i/>
          <w:sz w:val="21"/>
          <w:szCs w:val="21"/>
        </w:rPr>
        <w:t xml:space="preserve"> v Chadha</w:t>
      </w:r>
      <w:r w:rsidR="008249DD" w:rsidRPr="006A5A63">
        <w:rPr>
          <w:rFonts w:cs="Arial"/>
          <w:sz w:val="21"/>
          <w:szCs w:val="21"/>
        </w:rPr>
        <w:t xml:space="preserve"> and </w:t>
      </w:r>
      <w:r w:rsidR="008249DD" w:rsidRPr="006A5A63">
        <w:rPr>
          <w:rFonts w:cs="Arial"/>
          <w:i/>
          <w:sz w:val="21"/>
          <w:szCs w:val="21"/>
        </w:rPr>
        <w:t>Crest Nicholson Residential South Ltd v McAllister</w:t>
      </w:r>
      <w:r w:rsidR="008249DD" w:rsidRPr="006A5A63">
        <w:rPr>
          <w:rFonts w:cs="Arial"/>
          <w:sz w:val="21"/>
          <w:szCs w:val="21"/>
        </w:rPr>
        <w:t>.</w:t>
      </w:r>
    </w:p>
    <w:p w14:paraId="2C9A1026" w14:textId="23413ECA" w:rsidR="0041321A" w:rsidRPr="006A5A63" w:rsidRDefault="0041321A" w:rsidP="00D77E19">
      <w:pPr>
        <w:pStyle w:val="q"/>
        <w:spacing w:line="240" w:lineRule="auto"/>
        <w:ind w:firstLine="0"/>
        <w:rPr>
          <w:rFonts w:asciiTheme="minorHAnsi" w:hAnsiTheme="minorHAnsi" w:cstheme="minorHAnsi"/>
          <w:sz w:val="21"/>
          <w:szCs w:val="21"/>
          <w:lang w:val="en-GB"/>
        </w:rPr>
      </w:pPr>
    </w:p>
    <w:p w14:paraId="7CB648C6" w14:textId="77777777" w:rsidR="00303F38" w:rsidRPr="006A5A63" w:rsidRDefault="00303F38" w:rsidP="00D77E19">
      <w:pPr>
        <w:pStyle w:val="q"/>
        <w:spacing w:line="240" w:lineRule="auto"/>
        <w:ind w:firstLine="0"/>
        <w:rPr>
          <w:rFonts w:asciiTheme="minorHAnsi" w:hAnsiTheme="minorHAnsi" w:cstheme="minorHAnsi"/>
          <w:sz w:val="21"/>
          <w:szCs w:val="21"/>
          <w:lang w:val="en-GB"/>
        </w:rPr>
      </w:pPr>
    </w:p>
    <w:p w14:paraId="01C5FAA4" w14:textId="77777777" w:rsidR="00D77E19" w:rsidRPr="006A5A63" w:rsidRDefault="00D77E19" w:rsidP="00D77E19">
      <w:pPr>
        <w:pStyle w:val="q"/>
        <w:spacing w:line="240" w:lineRule="auto"/>
        <w:ind w:left="1134"/>
        <w:rPr>
          <w:rFonts w:asciiTheme="minorHAnsi" w:hAnsiTheme="minorHAnsi" w:cstheme="minorHAnsi"/>
          <w:sz w:val="21"/>
          <w:szCs w:val="21"/>
          <w:lang w:val="en-GB"/>
        </w:rPr>
      </w:pPr>
    </w:p>
    <w:p w14:paraId="6068000C" w14:textId="03146DFF" w:rsidR="004D1072" w:rsidRPr="006A5A63" w:rsidRDefault="00417933" w:rsidP="006A5A63">
      <w:pPr>
        <w:pStyle w:val="q"/>
        <w:spacing w:line="240" w:lineRule="auto"/>
        <w:ind w:left="0" w:firstLine="0"/>
        <w:rPr>
          <w:rFonts w:asciiTheme="minorHAnsi" w:hAnsiTheme="minorHAnsi" w:cstheme="minorHAnsi"/>
          <w:b/>
          <w:bCs/>
          <w:sz w:val="21"/>
          <w:szCs w:val="21"/>
          <w:lang w:val="en-GB"/>
        </w:rPr>
      </w:pPr>
      <w:r w:rsidRPr="006A5A63">
        <w:rPr>
          <w:rFonts w:asciiTheme="minorHAnsi" w:hAnsiTheme="minorHAnsi" w:cstheme="minorHAnsi"/>
          <w:b/>
          <w:sz w:val="21"/>
          <w:szCs w:val="21"/>
          <w:lang w:val="en-GB"/>
        </w:rPr>
        <w:t xml:space="preserve">Question 5: </w:t>
      </w:r>
      <w:r w:rsidR="004D1072" w:rsidRPr="006A5A63">
        <w:rPr>
          <w:rFonts w:asciiTheme="minorHAnsi" w:hAnsiTheme="minorHAnsi" w:cstheme="minorHAnsi"/>
          <w:b/>
          <w:bCs/>
          <w:sz w:val="21"/>
          <w:szCs w:val="21"/>
          <w:lang w:val="en-GB"/>
        </w:rPr>
        <w:t>A building scheme is said to be based upon a community of interests. How are those interests identified?</w:t>
      </w:r>
    </w:p>
    <w:p w14:paraId="03DD1ECA" w14:textId="77777777" w:rsidR="00C9716B" w:rsidRPr="006A5A63" w:rsidRDefault="00C9716B" w:rsidP="00C9716B">
      <w:pPr>
        <w:spacing w:after="0" w:line="240" w:lineRule="auto"/>
        <w:jc w:val="both"/>
        <w:rPr>
          <w:rFonts w:cs="Arial"/>
          <w:sz w:val="21"/>
          <w:szCs w:val="21"/>
        </w:rPr>
      </w:pPr>
    </w:p>
    <w:p w14:paraId="00871501" w14:textId="4D185661" w:rsidR="0037332A" w:rsidRPr="006A5A63" w:rsidRDefault="006C04B6" w:rsidP="006A5A63">
      <w:pPr>
        <w:spacing w:after="0" w:line="240" w:lineRule="auto"/>
        <w:jc w:val="both"/>
        <w:rPr>
          <w:rFonts w:cs="Arial"/>
          <w:sz w:val="21"/>
          <w:szCs w:val="21"/>
        </w:rPr>
      </w:pPr>
      <w:r w:rsidRPr="006A5A63">
        <w:rPr>
          <w:rFonts w:cs="Arial"/>
          <w:sz w:val="21"/>
          <w:szCs w:val="21"/>
        </w:rPr>
        <w:t xml:space="preserve">The requirements of a building scheme are considered in </w:t>
      </w:r>
      <w:r w:rsidR="00007482" w:rsidRPr="006A5A63">
        <w:rPr>
          <w:rFonts w:cs="Arial"/>
          <w:sz w:val="21"/>
          <w:szCs w:val="21"/>
        </w:rPr>
        <w:t>P</w:t>
      </w:r>
      <w:r w:rsidRPr="006A5A63">
        <w:rPr>
          <w:rFonts w:cs="Arial"/>
          <w:sz w:val="21"/>
          <w:szCs w:val="21"/>
        </w:rPr>
        <w:t xml:space="preserve">aragraphs </w:t>
      </w:r>
      <w:r w:rsidR="00B210C1" w:rsidRPr="006A5A63">
        <w:rPr>
          <w:rFonts w:cs="Arial"/>
          <w:sz w:val="21"/>
          <w:szCs w:val="21"/>
        </w:rPr>
        <w:t>10</w:t>
      </w:r>
      <w:r w:rsidR="00B65673" w:rsidRPr="006A5A63">
        <w:rPr>
          <w:rFonts w:cs="Arial"/>
          <w:sz w:val="21"/>
          <w:szCs w:val="21"/>
        </w:rPr>
        <w:t>.39-10.4</w:t>
      </w:r>
      <w:r w:rsidR="0037332A" w:rsidRPr="006A5A63">
        <w:rPr>
          <w:rFonts w:cs="Arial"/>
          <w:sz w:val="21"/>
          <w:szCs w:val="21"/>
        </w:rPr>
        <w:t>3.</w:t>
      </w:r>
    </w:p>
    <w:p w14:paraId="2625A136" w14:textId="77777777" w:rsidR="0037332A" w:rsidRPr="006A5A63" w:rsidRDefault="0037332A" w:rsidP="00C9716B">
      <w:pPr>
        <w:spacing w:after="0" w:line="240" w:lineRule="auto"/>
        <w:ind w:left="567"/>
        <w:jc w:val="both"/>
        <w:rPr>
          <w:rFonts w:cs="Arial"/>
          <w:sz w:val="21"/>
          <w:szCs w:val="21"/>
        </w:rPr>
      </w:pPr>
    </w:p>
    <w:p w14:paraId="061FAFF5" w14:textId="593D77B1" w:rsidR="00C9716B" w:rsidRPr="006A5A63" w:rsidRDefault="00C9716B" w:rsidP="006A5A63">
      <w:pPr>
        <w:spacing w:after="0" w:line="240" w:lineRule="auto"/>
        <w:jc w:val="both"/>
        <w:rPr>
          <w:rFonts w:cs="Arial"/>
          <w:sz w:val="21"/>
          <w:szCs w:val="21"/>
        </w:rPr>
      </w:pPr>
      <w:r w:rsidRPr="006A5A63">
        <w:rPr>
          <w:rFonts w:cs="Arial"/>
          <w:sz w:val="21"/>
          <w:szCs w:val="21"/>
        </w:rPr>
        <w:lastRenderedPageBreak/>
        <w:t xml:space="preserve">The rigour with which the requirements of a building scheme have been expressed and implemented has varied over the years. Early cases looked to an intention of mutual enforceability of covenants imposed upon plots within a defined area or estate, a kind of local law </w:t>
      </w:r>
      <w:r w:rsidR="004579FB" w:rsidRPr="006A5A63">
        <w:rPr>
          <w:rFonts w:cs="Arial"/>
          <w:sz w:val="21"/>
          <w:szCs w:val="21"/>
        </w:rPr>
        <w:t>displaying a community of interests</w:t>
      </w:r>
      <w:r w:rsidR="004255E3" w:rsidRPr="006A5A63">
        <w:rPr>
          <w:rFonts w:cs="Arial"/>
          <w:sz w:val="21"/>
          <w:szCs w:val="21"/>
        </w:rPr>
        <w:t xml:space="preserve"> </w:t>
      </w:r>
      <w:r w:rsidRPr="006A5A63">
        <w:rPr>
          <w:rFonts w:cs="Arial"/>
          <w:sz w:val="21"/>
          <w:szCs w:val="21"/>
        </w:rPr>
        <w:t xml:space="preserve">- see </w:t>
      </w:r>
      <w:proofErr w:type="spellStart"/>
      <w:r w:rsidRPr="006A5A63">
        <w:rPr>
          <w:rFonts w:cs="Arial"/>
          <w:i/>
          <w:sz w:val="21"/>
          <w:szCs w:val="21"/>
        </w:rPr>
        <w:t>Renals</w:t>
      </w:r>
      <w:proofErr w:type="spellEnd"/>
      <w:r w:rsidRPr="006A5A63">
        <w:rPr>
          <w:rFonts w:cs="Arial"/>
          <w:i/>
          <w:sz w:val="21"/>
          <w:szCs w:val="21"/>
        </w:rPr>
        <w:t xml:space="preserve"> v </w:t>
      </w:r>
      <w:proofErr w:type="spellStart"/>
      <w:r w:rsidRPr="006A5A63">
        <w:rPr>
          <w:rFonts w:cs="Arial"/>
          <w:i/>
          <w:sz w:val="21"/>
          <w:szCs w:val="21"/>
        </w:rPr>
        <w:t>Colishaw</w:t>
      </w:r>
      <w:proofErr w:type="spellEnd"/>
      <w:r w:rsidRPr="006A5A63">
        <w:rPr>
          <w:rFonts w:cs="Arial"/>
          <w:i/>
          <w:sz w:val="21"/>
          <w:szCs w:val="21"/>
        </w:rPr>
        <w:t>, Spicer v Martin</w:t>
      </w:r>
      <w:r w:rsidRPr="006A5A63">
        <w:rPr>
          <w:rFonts w:cs="Arial"/>
          <w:sz w:val="21"/>
          <w:szCs w:val="21"/>
        </w:rPr>
        <w:t xml:space="preserve"> and </w:t>
      </w:r>
      <w:r w:rsidRPr="006A5A63">
        <w:rPr>
          <w:rFonts w:cs="Arial"/>
          <w:i/>
          <w:sz w:val="21"/>
          <w:szCs w:val="21"/>
        </w:rPr>
        <w:t>Reid v Bickerstaff</w:t>
      </w:r>
      <w:r w:rsidRPr="006A5A63">
        <w:rPr>
          <w:rFonts w:cs="Arial"/>
          <w:sz w:val="21"/>
          <w:szCs w:val="21"/>
        </w:rPr>
        <w:t xml:space="preserve">. </w:t>
      </w:r>
      <w:r w:rsidRPr="006A5A63">
        <w:rPr>
          <w:rFonts w:cs="Arial"/>
          <w:i/>
          <w:sz w:val="21"/>
          <w:szCs w:val="21"/>
        </w:rPr>
        <w:t>Elliston v Reacher</w:t>
      </w:r>
      <w:r w:rsidRPr="006A5A63">
        <w:rPr>
          <w:rFonts w:cs="Arial"/>
          <w:sz w:val="21"/>
          <w:szCs w:val="21"/>
        </w:rPr>
        <w:t xml:space="preserve"> however articulated this search for intended mutual enforceability as demanding a rather more restrictive approach to the evidence. The </w:t>
      </w:r>
      <w:r w:rsidRPr="006A5A63">
        <w:rPr>
          <w:rFonts w:cs="Arial"/>
          <w:i/>
          <w:sz w:val="21"/>
          <w:szCs w:val="21"/>
        </w:rPr>
        <w:t>Elliston v Reacher</w:t>
      </w:r>
      <w:r w:rsidRPr="006A5A63">
        <w:rPr>
          <w:rFonts w:cs="Arial"/>
          <w:sz w:val="21"/>
          <w:szCs w:val="21"/>
        </w:rPr>
        <w:t xml:space="preserve"> requirements are clearly articulated and have been influential. Nevertheless</w:t>
      </w:r>
      <w:r w:rsidR="00FA0C3F" w:rsidRPr="006A5A63">
        <w:rPr>
          <w:rFonts w:cs="Arial"/>
          <w:sz w:val="21"/>
          <w:szCs w:val="21"/>
        </w:rPr>
        <w:t>,</w:t>
      </w:r>
      <w:r w:rsidRPr="006A5A63">
        <w:rPr>
          <w:rFonts w:cs="Arial"/>
          <w:sz w:val="21"/>
          <w:szCs w:val="21"/>
        </w:rPr>
        <w:t xml:space="preserve"> the courts in more recent times have reverted to a more relaxed approach to the required evidence – see for example </w:t>
      </w:r>
      <w:r w:rsidRPr="006A5A63">
        <w:rPr>
          <w:rFonts w:cs="Arial"/>
          <w:i/>
          <w:sz w:val="21"/>
          <w:szCs w:val="21"/>
        </w:rPr>
        <w:t>Re Dolphin’s Conveyance</w:t>
      </w:r>
      <w:r w:rsidRPr="006A5A63">
        <w:rPr>
          <w:rFonts w:cs="Arial"/>
          <w:sz w:val="21"/>
          <w:szCs w:val="21"/>
        </w:rPr>
        <w:t xml:space="preserve">. </w:t>
      </w:r>
    </w:p>
    <w:p w14:paraId="02E2CAD0" w14:textId="77777777" w:rsidR="00303F38" w:rsidRPr="006A5A63" w:rsidRDefault="00303F38" w:rsidP="004E6355">
      <w:pPr>
        <w:pStyle w:val="q"/>
        <w:ind w:left="1134"/>
        <w:rPr>
          <w:rFonts w:asciiTheme="minorHAnsi" w:hAnsiTheme="minorHAnsi" w:cstheme="minorHAnsi"/>
          <w:sz w:val="21"/>
          <w:szCs w:val="21"/>
          <w:lang w:val="en-GB"/>
        </w:rPr>
      </w:pPr>
    </w:p>
    <w:p w14:paraId="171E5332" w14:textId="5C19D4DE" w:rsidR="004D1072" w:rsidRDefault="00417933" w:rsidP="00CE31B2">
      <w:pPr>
        <w:pStyle w:val="q"/>
        <w:spacing w:line="240" w:lineRule="auto"/>
        <w:rPr>
          <w:rFonts w:cstheme="minorHAnsi"/>
          <w:sz w:val="21"/>
          <w:szCs w:val="21"/>
        </w:rPr>
      </w:pPr>
      <w:r>
        <w:rPr>
          <w:rFonts w:asciiTheme="minorHAnsi" w:hAnsiTheme="minorHAnsi" w:cstheme="minorHAnsi"/>
          <w:b/>
          <w:bCs/>
          <w:sz w:val="21"/>
          <w:szCs w:val="21"/>
          <w:lang w:val="en-GB"/>
        </w:rPr>
        <w:t xml:space="preserve">Question 6: </w:t>
      </w:r>
      <w:r w:rsidR="004D1072" w:rsidRPr="006A5A63">
        <w:rPr>
          <w:rFonts w:cstheme="minorHAnsi"/>
          <w:b/>
          <w:bCs/>
          <w:sz w:val="21"/>
          <w:szCs w:val="21"/>
        </w:rPr>
        <w:t>When should an injunction be granted to remedy the breach of a restrictive covenant?</w:t>
      </w:r>
    </w:p>
    <w:p w14:paraId="26ACBE2C" w14:textId="77777777" w:rsidR="00CE31B2" w:rsidRPr="006A5A63" w:rsidRDefault="00CE31B2" w:rsidP="006A5A63">
      <w:pPr>
        <w:pStyle w:val="q"/>
        <w:spacing w:line="240" w:lineRule="auto"/>
        <w:rPr>
          <w:rFonts w:cstheme="minorHAnsi"/>
          <w:sz w:val="21"/>
          <w:szCs w:val="21"/>
        </w:rPr>
      </w:pPr>
    </w:p>
    <w:p w14:paraId="759147EA" w14:textId="311FC894" w:rsidR="00087929" w:rsidRPr="006A5A63" w:rsidRDefault="00087929" w:rsidP="006A5A63">
      <w:pPr>
        <w:spacing w:after="0" w:line="240" w:lineRule="auto"/>
        <w:jc w:val="both"/>
        <w:rPr>
          <w:rFonts w:cs="Arial"/>
          <w:sz w:val="21"/>
          <w:szCs w:val="21"/>
        </w:rPr>
      </w:pPr>
      <w:r w:rsidRPr="006A5A63">
        <w:rPr>
          <w:rFonts w:cs="Arial"/>
          <w:sz w:val="21"/>
          <w:szCs w:val="21"/>
        </w:rPr>
        <w:t xml:space="preserve">The usual remedies granted for the breach of a restrictive covenant are either </w:t>
      </w:r>
      <w:r w:rsidR="00F75B1F" w:rsidRPr="006A5A63">
        <w:rPr>
          <w:rFonts w:cs="Arial"/>
          <w:sz w:val="21"/>
          <w:szCs w:val="21"/>
        </w:rPr>
        <w:t xml:space="preserve">the </w:t>
      </w:r>
      <w:r w:rsidRPr="006A5A63">
        <w:rPr>
          <w:rFonts w:cs="Arial"/>
          <w:sz w:val="21"/>
          <w:szCs w:val="21"/>
        </w:rPr>
        <w:t>grant</w:t>
      </w:r>
      <w:r w:rsidR="00A925D6" w:rsidRPr="006A5A63">
        <w:rPr>
          <w:rFonts w:cs="Arial"/>
          <w:sz w:val="21"/>
          <w:szCs w:val="21"/>
        </w:rPr>
        <w:t xml:space="preserve"> of </w:t>
      </w:r>
      <w:r w:rsidRPr="006A5A63">
        <w:rPr>
          <w:rFonts w:cs="Arial"/>
          <w:sz w:val="21"/>
          <w:szCs w:val="21"/>
        </w:rPr>
        <w:t xml:space="preserve">an injunction or by the award of damages for the loss the </w:t>
      </w:r>
      <w:proofErr w:type="spellStart"/>
      <w:r w:rsidRPr="006A5A63">
        <w:rPr>
          <w:rFonts w:cs="Arial"/>
          <w:sz w:val="21"/>
          <w:szCs w:val="21"/>
        </w:rPr>
        <w:t>covenantee</w:t>
      </w:r>
      <w:proofErr w:type="spellEnd"/>
      <w:r w:rsidRPr="006A5A63">
        <w:rPr>
          <w:rFonts w:cs="Arial"/>
          <w:sz w:val="21"/>
          <w:szCs w:val="21"/>
        </w:rPr>
        <w:t xml:space="preserve"> has suffered. An injunction, whether prohibitive to restrain a threatened breach or mandatory to remedy a past breach, is often the remedy of first choice since the </w:t>
      </w:r>
      <w:r w:rsidR="00C43AB1" w:rsidRPr="006A5A63">
        <w:rPr>
          <w:rFonts w:cs="Arial"/>
          <w:sz w:val="21"/>
          <w:szCs w:val="21"/>
        </w:rPr>
        <w:t xml:space="preserve">owner of the dominant land normally wants to </w:t>
      </w:r>
      <w:r w:rsidR="00D97251" w:rsidRPr="006A5A63">
        <w:rPr>
          <w:rFonts w:cs="Arial"/>
          <w:sz w:val="21"/>
          <w:szCs w:val="21"/>
        </w:rPr>
        <w:t xml:space="preserve">actually </w:t>
      </w:r>
      <w:r w:rsidR="00C43AB1" w:rsidRPr="006A5A63">
        <w:rPr>
          <w:rFonts w:cs="Arial"/>
          <w:sz w:val="21"/>
          <w:szCs w:val="21"/>
        </w:rPr>
        <w:t xml:space="preserve">stop </w:t>
      </w:r>
      <w:r w:rsidR="009D6CB8" w:rsidRPr="006A5A63">
        <w:rPr>
          <w:rFonts w:cs="Arial"/>
          <w:sz w:val="21"/>
          <w:szCs w:val="21"/>
        </w:rPr>
        <w:t xml:space="preserve">the owner of the servient land </w:t>
      </w:r>
      <w:r w:rsidR="00322027" w:rsidRPr="006A5A63">
        <w:rPr>
          <w:rFonts w:cs="Arial"/>
          <w:sz w:val="21"/>
          <w:szCs w:val="21"/>
        </w:rPr>
        <w:t xml:space="preserve">from acting in a way which breaches the covenant. </w:t>
      </w:r>
      <w:r w:rsidR="00D529AC" w:rsidRPr="006A5A63">
        <w:rPr>
          <w:rFonts w:cs="Arial"/>
          <w:sz w:val="21"/>
          <w:szCs w:val="21"/>
        </w:rPr>
        <w:t xml:space="preserve">However, </w:t>
      </w:r>
      <w:r w:rsidRPr="006A5A63">
        <w:rPr>
          <w:rFonts w:cs="Arial"/>
          <w:sz w:val="21"/>
          <w:szCs w:val="21"/>
        </w:rPr>
        <w:t xml:space="preserve">the award of an injunction is a discretionary remedy </w:t>
      </w:r>
      <w:r w:rsidR="0062399C" w:rsidRPr="006A5A63">
        <w:rPr>
          <w:rFonts w:cs="Arial"/>
          <w:sz w:val="21"/>
          <w:szCs w:val="21"/>
        </w:rPr>
        <w:t xml:space="preserve">which the court may decide not to award </w:t>
      </w:r>
      <w:r w:rsidRPr="006A5A63">
        <w:rPr>
          <w:rFonts w:cs="Arial"/>
          <w:sz w:val="21"/>
          <w:szCs w:val="21"/>
        </w:rPr>
        <w:t xml:space="preserve">where damages would be an adequate remedy or where an injunction would cause unnecessary oppression </w:t>
      </w:r>
      <w:r w:rsidR="00F81579" w:rsidRPr="006A5A63">
        <w:rPr>
          <w:rFonts w:cs="Arial"/>
          <w:sz w:val="21"/>
          <w:szCs w:val="21"/>
        </w:rPr>
        <w:t>to</w:t>
      </w:r>
      <w:r w:rsidRPr="006A5A63">
        <w:rPr>
          <w:rFonts w:cs="Arial"/>
          <w:sz w:val="21"/>
          <w:szCs w:val="21"/>
        </w:rPr>
        <w:t xml:space="preserve"> the covenantor. </w:t>
      </w:r>
      <w:r w:rsidR="0075287B" w:rsidRPr="006A5A63">
        <w:rPr>
          <w:rFonts w:cs="Arial"/>
          <w:sz w:val="21"/>
          <w:szCs w:val="21"/>
        </w:rPr>
        <w:t xml:space="preserve">A practical difficulty is also that the </w:t>
      </w:r>
      <w:r w:rsidR="00D67880" w:rsidRPr="006A5A63">
        <w:rPr>
          <w:rFonts w:cs="Arial"/>
          <w:sz w:val="21"/>
          <w:szCs w:val="21"/>
        </w:rPr>
        <w:t xml:space="preserve">dominant owner must act promptly if they are to obtain an injunction </w:t>
      </w:r>
      <w:r w:rsidR="00B80851" w:rsidRPr="006A5A63">
        <w:rPr>
          <w:rFonts w:cs="Arial"/>
          <w:sz w:val="21"/>
          <w:szCs w:val="21"/>
        </w:rPr>
        <w:t xml:space="preserve">but </w:t>
      </w:r>
      <w:r w:rsidR="001400FE" w:rsidRPr="006A5A63">
        <w:rPr>
          <w:rFonts w:cs="Arial"/>
          <w:sz w:val="21"/>
          <w:szCs w:val="21"/>
        </w:rPr>
        <w:t>as we have seen restrictive covenants can raise complex legal issues which can take time to litigate.</w:t>
      </w:r>
    </w:p>
    <w:p w14:paraId="6180D3E4" w14:textId="77777777" w:rsidR="00087929" w:rsidRPr="006A5A63" w:rsidRDefault="00087929" w:rsidP="00087929">
      <w:pPr>
        <w:spacing w:after="0" w:line="240" w:lineRule="auto"/>
        <w:jc w:val="both"/>
        <w:rPr>
          <w:rFonts w:cs="Arial"/>
          <w:sz w:val="21"/>
          <w:szCs w:val="21"/>
        </w:rPr>
      </w:pPr>
    </w:p>
    <w:p w14:paraId="264DC3A5" w14:textId="371BB576" w:rsidR="00087929" w:rsidRPr="006A5A63" w:rsidRDefault="00091D9D" w:rsidP="006A5A63">
      <w:pPr>
        <w:spacing w:after="0" w:line="240" w:lineRule="auto"/>
        <w:jc w:val="both"/>
        <w:rPr>
          <w:rFonts w:cs="Arial"/>
          <w:sz w:val="21"/>
          <w:szCs w:val="21"/>
        </w:rPr>
      </w:pPr>
      <w:r w:rsidRPr="006A5A63">
        <w:rPr>
          <w:rFonts w:cs="Arial"/>
          <w:sz w:val="21"/>
          <w:szCs w:val="21"/>
        </w:rPr>
        <w:t>T</w:t>
      </w:r>
      <w:r w:rsidR="00087929" w:rsidRPr="006A5A63">
        <w:rPr>
          <w:rFonts w:cs="Arial"/>
          <w:sz w:val="21"/>
          <w:szCs w:val="21"/>
        </w:rPr>
        <w:t xml:space="preserve">he </w:t>
      </w:r>
      <w:r w:rsidRPr="006A5A63">
        <w:rPr>
          <w:rFonts w:cs="Arial"/>
          <w:sz w:val="21"/>
          <w:szCs w:val="21"/>
        </w:rPr>
        <w:t xml:space="preserve">remedies </w:t>
      </w:r>
      <w:r w:rsidR="00FA0922" w:rsidRPr="006A5A63">
        <w:rPr>
          <w:rFonts w:cs="Arial"/>
          <w:sz w:val="21"/>
          <w:szCs w:val="21"/>
        </w:rPr>
        <w:t xml:space="preserve">for breach of a </w:t>
      </w:r>
      <w:r w:rsidR="00087929" w:rsidRPr="006A5A63">
        <w:rPr>
          <w:rFonts w:cs="Arial"/>
          <w:sz w:val="21"/>
          <w:szCs w:val="21"/>
        </w:rPr>
        <w:t xml:space="preserve">restrictive covenant are considered in </w:t>
      </w:r>
      <w:r w:rsidR="00415A8E" w:rsidRPr="006A5A63">
        <w:rPr>
          <w:rFonts w:cs="Arial"/>
          <w:sz w:val="21"/>
          <w:szCs w:val="21"/>
        </w:rPr>
        <w:t>P</w:t>
      </w:r>
      <w:r w:rsidR="001400FE" w:rsidRPr="006A5A63">
        <w:rPr>
          <w:rFonts w:cs="Arial"/>
          <w:sz w:val="21"/>
          <w:szCs w:val="21"/>
        </w:rPr>
        <w:t>aragraph</w:t>
      </w:r>
      <w:r w:rsidR="004F48CA" w:rsidRPr="006A5A63">
        <w:rPr>
          <w:rFonts w:cs="Arial"/>
          <w:sz w:val="21"/>
          <w:szCs w:val="21"/>
        </w:rPr>
        <w:t>s 10.</w:t>
      </w:r>
      <w:r w:rsidR="00666A33" w:rsidRPr="006A5A63">
        <w:rPr>
          <w:rFonts w:cs="Arial"/>
          <w:sz w:val="21"/>
          <w:szCs w:val="21"/>
        </w:rPr>
        <w:t>47-</w:t>
      </w:r>
      <w:r w:rsidR="005513DF" w:rsidRPr="006A5A63">
        <w:rPr>
          <w:rFonts w:cs="Arial"/>
          <w:sz w:val="21"/>
          <w:szCs w:val="21"/>
        </w:rPr>
        <w:t>10.52.</w:t>
      </w:r>
    </w:p>
    <w:p w14:paraId="645A231C" w14:textId="77777777" w:rsidR="00513BD9" w:rsidRPr="006A5A63" w:rsidRDefault="00513BD9" w:rsidP="009E0B72">
      <w:pPr>
        <w:ind w:left="567"/>
        <w:rPr>
          <w:rFonts w:cstheme="minorHAnsi"/>
          <w:sz w:val="21"/>
          <w:szCs w:val="21"/>
        </w:rPr>
      </w:pPr>
    </w:p>
    <w:sectPr w:rsidR="00513BD9" w:rsidRPr="006A5A6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ACDA9" w14:textId="77777777" w:rsidR="00041135" w:rsidRDefault="00041135" w:rsidP="004D1072">
      <w:pPr>
        <w:spacing w:after="0" w:line="240" w:lineRule="auto"/>
      </w:pPr>
      <w:r>
        <w:separator/>
      </w:r>
    </w:p>
  </w:endnote>
  <w:endnote w:type="continuationSeparator" w:id="0">
    <w:p w14:paraId="01498A47" w14:textId="77777777" w:rsidR="00041135" w:rsidRDefault="00041135" w:rsidP="004D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220F" w14:textId="77777777" w:rsidR="00BB1AAC" w:rsidRPr="002E5D50" w:rsidRDefault="00BB1AAC" w:rsidP="00BB1AAC">
    <w:pPr>
      <w:pStyle w:val="Footer"/>
      <w:jc w:val="right"/>
      <w:rPr>
        <w:color w:val="808080"/>
        <w:sz w:val="20"/>
        <w:szCs w:val="20"/>
      </w:rPr>
    </w:pPr>
    <w:r>
      <w:rPr>
        <w:noProof/>
        <w:color w:val="808080"/>
        <w:sz w:val="20"/>
        <w:szCs w:val="20"/>
        <w:lang w:eastAsia="en-GB"/>
      </w:rPr>
      <w:drawing>
        <wp:inline distT="0" distB="0" distL="0" distR="0" wp14:anchorId="79248B49" wp14:editId="0A005A5F">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131A75C4" w14:textId="77777777" w:rsidR="00BB1AAC" w:rsidRPr="002E5D50" w:rsidRDefault="00BB1AAC" w:rsidP="00BB1AAC">
    <w:pPr>
      <w:pStyle w:val="Footer"/>
      <w:rPr>
        <w:color w:val="808080"/>
        <w:sz w:val="20"/>
        <w:szCs w:val="20"/>
      </w:rPr>
    </w:pPr>
    <w:r w:rsidRPr="002E5D50">
      <w:rPr>
        <w:color w:val="808080"/>
        <w:sz w:val="20"/>
        <w:szCs w:val="20"/>
      </w:rPr>
      <w:t>© B McFarlane, SA Nield, 20</w:t>
    </w:r>
    <w:r>
      <w:rPr>
        <w:color w:val="808080"/>
        <w:sz w:val="20"/>
        <w:szCs w:val="20"/>
      </w:rPr>
      <w:t>20</w:t>
    </w:r>
    <w:r w:rsidRPr="002E5D50">
      <w:rPr>
        <w:color w:val="808080"/>
        <w:sz w:val="20"/>
        <w:szCs w:val="20"/>
      </w:rPr>
      <w:t>. All rights reserved.</w:t>
    </w:r>
  </w:p>
  <w:p w14:paraId="63BF1128" w14:textId="77777777" w:rsidR="00BB1AAC" w:rsidRDefault="00BB1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7B1B9" w14:textId="77777777" w:rsidR="00041135" w:rsidRDefault="00041135" w:rsidP="004D1072">
      <w:pPr>
        <w:spacing w:after="0" w:line="240" w:lineRule="auto"/>
      </w:pPr>
      <w:r>
        <w:separator/>
      </w:r>
    </w:p>
  </w:footnote>
  <w:footnote w:type="continuationSeparator" w:id="0">
    <w:p w14:paraId="087EDCDF" w14:textId="77777777" w:rsidR="00041135" w:rsidRDefault="00041135" w:rsidP="004D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E0A6" w14:textId="5346C1A9" w:rsidR="004D1072" w:rsidRPr="00FA59F6" w:rsidRDefault="004D1072" w:rsidP="004D1072">
    <w:pPr>
      <w:pStyle w:val="Header"/>
      <w:jc w:val="center"/>
      <w:rPr>
        <w:rFonts w:cs="Arial"/>
        <w:color w:val="808080"/>
        <w:sz w:val="20"/>
        <w:szCs w:val="24"/>
      </w:rPr>
    </w:pPr>
    <w:r w:rsidRPr="00FA59F6">
      <w:rPr>
        <w:rFonts w:cs="Arial"/>
        <w:color w:val="808080"/>
        <w:sz w:val="20"/>
        <w:szCs w:val="24"/>
      </w:rPr>
      <w:t xml:space="preserve">McFarlane, Hopkins &amp; Nield: </w:t>
    </w:r>
    <w:r w:rsidRPr="00FA59F6">
      <w:rPr>
        <w:rFonts w:cs="Arial"/>
        <w:i/>
        <w:color w:val="808080"/>
        <w:sz w:val="20"/>
        <w:szCs w:val="24"/>
      </w:rPr>
      <w:t xml:space="preserve">Land Law, </w:t>
    </w:r>
    <w:r>
      <w:rPr>
        <w:rFonts w:cs="Arial"/>
        <w:i/>
        <w:color w:val="808080"/>
        <w:sz w:val="20"/>
        <w:szCs w:val="24"/>
      </w:rPr>
      <w:t>Core Text</w:t>
    </w:r>
    <w:r w:rsidRPr="00FA59F6">
      <w:rPr>
        <w:rFonts w:cs="Arial"/>
        <w:color w:val="808080"/>
        <w:sz w:val="20"/>
        <w:szCs w:val="24"/>
      </w:rPr>
      <w:t xml:space="preserve">, </w:t>
    </w:r>
    <w:proofErr w:type="gramStart"/>
    <w:r>
      <w:rPr>
        <w:rFonts w:cs="Arial"/>
        <w:color w:val="808080"/>
        <w:sz w:val="20"/>
        <w:szCs w:val="24"/>
      </w:rPr>
      <w:t>2</w:t>
    </w:r>
    <w:r w:rsidRPr="004D1072">
      <w:rPr>
        <w:rFonts w:cs="Arial"/>
        <w:color w:val="808080"/>
        <w:sz w:val="20"/>
        <w:szCs w:val="24"/>
        <w:vertAlign w:val="superscript"/>
      </w:rPr>
      <w:t>nd</w:t>
    </w:r>
    <w:r>
      <w:rPr>
        <w:rFonts w:cs="Arial"/>
        <w:color w:val="808080"/>
        <w:sz w:val="20"/>
        <w:szCs w:val="24"/>
      </w:rPr>
      <w:t xml:space="preserve"> </w:t>
    </w:r>
    <w:r w:rsidRPr="00FA59F6">
      <w:rPr>
        <w:rFonts w:cs="Arial"/>
        <w:color w:val="808080"/>
        <w:sz w:val="20"/>
        <w:szCs w:val="24"/>
      </w:rPr>
      <w:t xml:space="preserve"> edition</w:t>
    </w:r>
    <w:proofErr w:type="gramEnd"/>
  </w:p>
  <w:p w14:paraId="27E5F581" w14:textId="77777777" w:rsidR="004D1072" w:rsidRPr="00FA59F6" w:rsidRDefault="004D1072" w:rsidP="004D1072">
    <w:pPr>
      <w:pStyle w:val="Header"/>
      <w:jc w:val="center"/>
      <w:rPr>
        <w:rFonts w:cs="Arial"/>
        <w:color w:val="808080"/>
        <w:sz w:val="20"/>
        <w:szCs w:val="24"/>
      </w:rPr>
    </w:pPr>
    <w:r w:rsidRPr="00FA59F6">
      <w:rPr>
        <w:rFonts w:cs="Arial"/>
        <w:color w:val="808080"/>
        <w:sz w:val="20"/>
        <w:szCs w:val="24"/>
      </w:rPr>
      <w:t>Answer Guidance</w:t>
    </w:r>
  </w:p>
  <w:p w14:paraId="12C27174" w14:textId="1BE15CD0" w:rsidR="004D1072" w:rsidRDefault="004D1072">
    <w:pPr>
      <w:pStyle w:val="Header"/>
    </w:pPr>
  </w:p>
  <w:p w14:paraId="2CBE55DD" w14:textId="77777777" w:rsidR="004D1072" w:rsidRDefault="004D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464AA"/>
    <w:multiLevelType w:val="hybridMultilevel"/>
    <w:tmpl w:val="A2B8E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72"/>
    <w:rsid w:val="00007482"/>
    <w:rsid w:val="00041135"/>
    <w:rsid w:val="000441BF"/>
    <w:rsid w:val="0004480E"/>
    <w:rsid w:val="000562DF"/>
    <w:rsid w:val="00063154"/>
    <w:rsid w:val="00087929"/>
    <w:rsid w:val="00091D9D"/>
    <w:rsid w:val="001341B4"/>
    <w:rsid w:val="001350A7"/>
    <w:rsid w:val="001400FE"/>
    <w:rsid w:val="001550A5"/>
    <w:rsid w:val="00194D75"/>
    <w:rsid w:val="001D5C74"/>
    <w:rsid w:val="001D5E9B"/>
    <w:rsid w:val="001E295B"/>
    <w:rsid w:val="00214355"/>
    <w:rsid w:val="00241095"/>
    <w:rsid w:val="00250D52"/>
    <w:rsid w:val="0028413E"/>
    <w:rsid w:val="002A237D"/>
    <w:rsid w:val="002C691A"/>
    <w:rsid w:val="003000D9"/>
    <w:rsid w:val="00303F38"/>
    <w:rsid w:val="00322027"/>
    <w:rsid w:val="003377BA"/>
    <w:rsid w:val="003720A5"/>
    <w:rsid w:val="0037332A"/>
    <w:rsid w:val="00381F9E"/>
    <w:rsid w:val="003D57C8"/>
    <w:rsid w:val="003E19CB"/>
    <w:rsid w:val="0041321A"/>
    <w:rsid w:val="00415A8E"/>
    <w:rsid w:val="00417933"/>
    <w:rsid w:val="004255E3"/>
    <w:rsid w:val="00430A58"/>
    <w:rsid w:val="00452CA0"/>
    <w:rsid w:val="0045414D"/>
    <w:rsid w:val="004579FB"/>
    <w:rsid w:val="00485C42"/>
    <w:rsid w:val="0049011B"/>
    <w:rsid w:val="004D1072"/>
    <w:rsid w:val="004E6355"/>
    <w:rsid w:val="004F14E3"/>
    <w:rsid w:val="004F48CA"/>
    <w:rsid w:val="00511B72"/>
    <w:rsid w:val="00513BD9"/>
    <w:rsid w:val="005513DF"/>
    <w:rsid w:val="00585DE5"/>
    <w:rsid w:val="00592305"/>
    <w:rsid w:val="005A0F2A"/>
    <w:rsid w:val="00600037"/>
    <w:rsid w:val="00614901"/>
    <w:rsid w:val="006163A4"/>
    <w:rsid w:val="0062399C"/>
    <w:rsid w:val="00634631"/>
    <w:rsid w:val="0066316E"/>
    <w:rsid w:val="006636A5"/>
    <w:rsid w:val="00666A33"/>
    <w:rsid w:val="00683A60"/>
    <w:rsid w:val="006A5A63"/>
    <w:rsid w:val="006C04B6"/>
    <w:rsid w:val="006E2A3E"/>
    <w:rsid w:val="006E6D33"/>
    <w:rsid w:val="006F78C0"/>
    <w:rsid w:val="00706FF3"/>
    <w:rsid w:val="0072637C"/>
    <w:rsid w:val="0075287B"/>
    <w:rsid w:val="007646B0"/>
    <w:rsid w:val="007A2387"/>
    <w:rsid w:val="007B1EFA"/>
    <w:rsid w:val="007C3DBC"/>
    <w:rsid w:val="007E7D29"/>
    <w:rsid w:val="008137A8"/>
    <w:rsid w:val="008249DD"/>
    <w:rsid w:val="00853C84"/>
    <w:rsid w:val="0085520C"/>
    <w:rsid w:val="008967B6"/>
    <w:rsid w:val="009031F5"/>
    <w:rsid w:val="009176E3"/>
    <w:rsid w:val="00926EA1"/>
    <w:rsid w:val="00973CDF"/>
    <w:rsid w:val="009D5FED"/>
    <w:rsid w:val="009D6CB8"/>
    <w:rsid w:val="009E0B72"/>
    <w:rsid w:val="00A00D5B"/>
    <w:rsid w:val="00A163BB"/>
    <w:rsid w:val="00A22759"/>
    <w:rsid w:val="00A925D6"/>
    <w:rsid w:val="00B210C1"/>
    <w:rsid w:val="00B65673"/>
    <w:rsid w:val="00B80851"/>
    <w:rsid w:val="00B8171E"/>
    <w:rsid w:val="00B943FD"/>
    <w:rsid w:val="00BB1AAC"/>
    <w:rsid w:val="00BC331E"/>
    <w:rsid w:val="00BC6692"/>
    <w:rsid w:val="00BF7C46"/>
    <w:rsid w:val="00C10EC7"/>
    <w:rsid w:val="00C16DEA"/>
    <w:rsid w:val="00C259DD"/>
    <w:rsid w:val="00C43AB1"/>
    <w:rsid w:val="00C43DCC"/>
    <w:rsid w:val="00C457B7"/>
    <w:rsid w:val="00C50B52"/>
    <w:rsid w:val="00C52BB3"/>
    <w:rsid w:val="00C62728"/>
    <w:rsid w:val="00C9716B"/>
    <w:rsid w:val="00CB4A34"/>
    <w:rsid w:val="00CB784F"/>
    <w:rsid w:val="00CC4365"/>
    <w:rsid w:val="00CE31B2"/>
    <w:rsid w:val="00CF5546"/>
    <w:rsid w:val="00D10F67"/>
    <w:rsid w:val="00D114CA"/>
    <w:rsid w:val="00D41C50"/>
    <w:rsid w:val="00D529AC"/>
    <w:rsid w:val="00D67880"/>
    <w:rsid w:val="00D77E19"/>
    <w:rsid w:val="00D97251"/>
    <w:rsid w:val="00DB09C9"/>
    <w:rsid w:val="00DF5CB4"/>
    <w:rsid w:val="00E04F12"/>
    <w:rsid w:val="00E333B8"/>
    <w:rsid w:val="00E619C1"/>
    <w:rsid w:val="00E96735"/>
    <w:rsid w:val="00EB444D"/>
    <w:rsid w:val="00ED08DC"/>
    <w:rsid w:val="00ED1793"/>
    <w:rsid w:val="00F10F64"/>
    <w:rsid w:val="00F128B7"/>
    <w:rsid w:val="00F2333A"/>
    <w:rsid w:val="00F37A91"/>
    <w:rsid w:val="00F50273"/>
    <w:rsid w:val="00F75B1F"/>
    <w:rsid w:val="00F81579"/>
    <w:rsid w:val="00FA0922"/>
    <w:rsid w:val="00FA0C3F"/>
    <w:rsid w:val="00FF0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CE3F"/>
  <w15:chartTrackingRefBased/>
  <w15:docId w15:val="{3EB698E9-B498-415A-A08B-73DFFF6B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
    <w:name w:val="q"/>
    <w:basedOn w:val="Normal"/>
    <w:link w:val="qChar"/>
    <w:qFormat/>
    <w:rsid w:val="004D1072"/>
    <w:pPr>
      <w:spacing w:after="0" w:line="480" w:lineRule="auto"/>
      <w:ind w:left="567" w:hanging="567"/>
    </w:pPr>
    <w:rPr>
      <w:rFonts w:ascii="Times New Roman" w:eastAsia="Times New Roman" w:hAnsi="Times New Roman" w:cs="Times New Roman"/>
      <w:color w:val="000000"/>
      <w:sz w:val="24"/>
      <w:szCs w:val="24"/>
      <w:lang w:val="en-US"/>
    </w:rPr>
  </w:style>
  <w:style w:type="character" w:customStyle="1" w:styleId="qChar">
    <w:name w:val="q Char"/>
    <w:basedOn w:val="DefaultParagraphFont"/>
    <w:link w:val="q"/>
    <w:rsid w:val="004D1072"/>
    <w:rPr>
      <w:rFonts w:ascii="Times New Roman" w:eastAsia="Times New Roman" w:hAnsi="Times New Roman" w:cs="Times New Roman"/>
      <w:color w:val="000000"/>
      <w:sz w:val="24"/>
      <w:szCs w:val="24"/>
      <w:lang w:val="en-US"/>
    </w:rPr>
  </w:style>
  <w:style w:type="paragraph" w:styleId="Header">
    <w:name w:val="header"/>
    <w:basedOn w:val="Normal"/>
    <w:link w:val="HeaderChar"/>
    <w:unhideWhenUsed/>
    <w:rsid w:val="004D1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072"/>
  </w:style>
  <w:style w:type="paragraph" w:styleId="Footer">
    <w:name w:val="footer"/>
    <w:basedOn w:val="Normal"/>
    <w:link w:val="FooterChar"/>
    <w:unhideWhenUsed/>
    <w:rsid w:val="004D1072"/>
    <w:pPr>
      <w:tabs>
        <w:tab w:val="center" w:pos="4513"/>
        <w:tab w:val="right" w:pos="9026"/>
      </w:tabs>
      <w:spacing w:after="0" w:line="240" w:lineRule="auto"/>
    </w:pPr>
  </w:style>
  <w:style w:type="character" w:customStyle="1" w:styleId="FooterChar">
    <w:name w:val="Footer Char"/>
    <w:basedOn w:val="DefaultParagraphFont"/>
    <w:link w:val="Footer"/>
    <w:rsid w:val="004D1072"/>
  </w:style>
  <w:style w:type="paragraph" w:styleId="BalloonText">
    <w:name w:val="Balloon Text"/>
    <w:basedOn w:val="Normal"/>
    <w:link w:val="BalloonTextChar"/>
    <w:uiPriority w:val="99"/>
    <w:semiHidden/>
    <w:unhideWhenUsed/>
    <w:rsid w:val="004D1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Nield</dc:creator>
  <cp:keywords/>
  <dc:description/>
  <cp:lastModifiedBy>SHEFFIELD, Emma</cp:lastModifiedBy>
  <cp:revision>135</cp:revision>
  <dcterms:created xsi:type="dcterms:W3CDTF">2020-03-27T14:25:00Z</dcterms:created>
  <dcterms:modified xsi:type="dcterms:W3CDTF">2020-05-14T15:13:00Z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2020-05-14T15:13:12Z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27fa5c53-d04c-4a86-a78a-00005d0fb757</vt:lpwstr>
  </property>
  <property fmtid="{D5CDD505-2E9C-101B-9397-08002B2CF9AE}" pid="8" name="MSIP_Label_89f61502-7731-4690-a118-333634878cc9_ContentBits">
    <vt:lpwstr>0</vt:lpwstr>
  </property>
</Properties>
</file>