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C9F79" w14:textId="3F1E9E4B" w:rsidR="005F6499" w:rsidRPr="00DA0B87" w:rsidRDefault="005F6499" w:rsidP="005F6499">
      <w:pPr>
        <w:jc w:val="center"/>
        <w:rPr>
          <w:rFonts w:ascii="Calibri" w:eastAsia="SimSun" w:hAnsi="Calibri"/>
          <w:sz w:val="32"/>
          <w:szCs w:val="32"/>
          <w:lang w:val="en-US"/>
        </w:rPr>
      </w:pPr>
      <w:r w:rsidRPr="00DA0B87">
        <w:rPr>
          <w:rFonts w:ascii="Calibri" w:eastAsia="SimSun" w:hAnsi="Calibri"/>
          <w:sz w:val="32"/>
          <w:szCs w:val="32"/>
          <w:lang w:val="en-US"/>
        </w:rPr>
        <w:t xml:space="preserve">Chapter </w:t>
      </w:r>
      <w:r w:rsidR="00DE21C1">
        <w:rPr>
          <w:rFonts w:ascii="Calibri" w:eastAsia="SimSun" w:hAnsi="Calibri"/>
          <w:sz w:val="32"/>
          <w:szCs w:val="32"/>
          <w:lang w:val="en-US"/>
        </w:rPr>
        <w:t>20</w:t>
      </w:r>
    </w:p>
    <w:p w14:paraId="0C8268D9" w14:textId="77777777" w:rsidR="00932C3E" w:rsidRDefault="00932C3E">
      <w:pPr>
        <w:rPr>
          <w:rFonts w:asciiTheme="majorHAnsi" w:hAnsiTheme="majorHAnsi"/>
          <w:b/>
          <w:sz w:val="22"/>
          <w:szCs w:val="22"/>
        </w:rPr>
      </w:pPr>
    </w:p>
    <w:p w14:paraId="7DBA7850" w14:textId="77777777" w:rsidR="00074213" w:rsidRPr="00932C3E" w:rsidRDefault="003673EA">
      <w:pPr>
        <w:rPr>
          <w:rFonts w:asciiTheme="majorHAnsi" w:hAnsiTheme="majorHAnsi"/>
          <w:b/>
          <w:sz w:val="22"/>
          <w:szCs w:val="22"/>
        </w:rPr>
      </w:pPr>
      <w:r w:rsidRPr="00932C3E">
        <w:rPr>
          <w:rFonts w:asciiTheme="majorHAnsi" w:hAnsiTheme="majorHAnsi"/>
          <w:b/>
          <w:sz w:val="22"/>
          <w:szCs w:val="22"/>
        </w:rPr>
        <w:t xml:space="preserve">Should a general duty of good faith be recognised in English law? </w:t>
      </w:r>
    </w:p>
    <w:p w14:paraId="75A698DC" w14:textId="77777777" w:rsidR="00DF6828" w:rsidRPr="00932C3E" w:rsidRDefault="00DF6828">
      <w:pPr>
        <w:rPr>
          <w:rFonts w:asciiTheme="majorHAnsi" w:hAnsiTheme="majorHAnsi"/>
          <w:sz w:val="22"/>
          <w:szCs w:val="22"/>
        </w:rPr>
      </w:pPr>
    </w:p>
    <w:p w14:paraId="13431D3F" w14:textId="3F9BDD8C" w:rsidR="00DF6828" w:rsidRPr="00932C3E" w:rsidRDefault="00DF6828" w:rsidP="00DF6828">
      <w:pPr>
        <w:jc w:val="both"/>
        <w:rPr>
          <w:rFonts w:asciiTheme="majorHAnsi" w:hAnsiTheme="majorHAnsi"/>
          <w:sz w:val="22"/>
          <w:szCs w:val="22"/>
        </w:rPr>
      </w:pPr>
      <w:r w:rsidRPr="00932C3E">
        <w:rPr>
          <w:rFonts w:asciiTheme="majorHAnsi" w:hAnsiTheme="majorHAnsi"/>
          <w:sz w:val="22"/>
          <w:szCs w:val="22"/>
        </w:rPr>
        <w:t xml:space="preserve">English contract law </w:t>
      </w:r>
      <w:r w:rsidR="00F514EA" w:rsidRPr="00932C3E">
        <w:rPr>
          <w:rFonts w:asciiTheme="majorHAnsi" w:hAnsiTheme="majorHAnsi"/>
          <w:sz w:val="22"/>
          <w:szCs w:val="22"/>
        </w:rPr>
        <w:t xml:space="preserve">traditionally </w:t>
      </w:r>
      <w:r w:rsidRPr="00932C3E">
        <w:rPr>
          <w:rFonts w:asciiTheme="majorHAnsi" w:hAnsiTheme="majorHAnsi"/>
          <w:sz w:val="22"/>
          <w:szCs w:val="22"/>
        </w:rPr>
        <w:t>does not incorporate a general requirement of good faith either in pre-contractual negotiations (</w:t>
      </w:r>
      <w:r w:rsidRPr="00932C3E">
        <w:rPr>
          <w:rFonts w:asciiTheme="majorHAnsi" w:hAnsiTheme="majorHAnsi"/>
          <w:i/>
          <w:sz w:val="22"/>
          <w:szCs w:val="22"/>
        </w:rPr>
        <w:t>Walford v Miles</w:t>
      </w:r>
      <w:r w:rsidRPr="00932C3E">
        <w:rPr>
          <w:rFonts w:asciiTheme="majorHAnsi" w:hAnsiTheme="majorHAnsi"/>
          <w:sz w:val="22"/>
          <w:szCs w:val="22"/>
        </w:rPr>
        <w:t>) or in the performance of primary contractual obligations (</w:t>
      </w:r>
      <w:r w:rsidRPr="00932C3E">
        <w:rPr>
          <w:rFonts w:asciiTheme="majorHAnsi" w:hAnsiTheme="majorHAnsi"/>
          <w:i/>
          <w:sz w:val="22"/>
          <w:szCs w:val="22"/>
        </w:rPr>
        <w:t>Yam Seng</w:t>
      </w:r>
      <w:r w:rsidRPr="00932C3E">
        <w:rPr>
          <w:rFonts w:asciiTheme="majorHAnsi" w:hAnsiTheme="majorHAnsi"/>
          <w:sz w:val="22"/>
          <w:szCs w:val="22"/>
        </w:rPr>
        <w:t xml:space="preserve">). </w:t>
      </w:r>
      <w:commentRangeStart w:id="0"/>
      <w:r w:rsidRPr="00932C3E">
        <w:rPr>
          <w:rFonts w:asciiTheme="majorHAnsi" w:hAnsiTheme="majorHAnsi"/>
          <w:sz w:val="22"/>
          <w:szCs w:val="22"/>
        </w:rPr>
        <w:t xml:space="preserve">Leaving considerations of </w:t>
      </w:r>
      <w:r w:rsidR="001A363B" w:rsidRPr="00932C3E">
        <w:rPr>
          <w:rFonts w:asciiTheme="majorHAnsi" w:hAnsiTheme="majorHAnsi"/>
          <w:sz w:val="22"/>
          <w:szCs w:val="22"/>
        </w:rPr>
        <w:t>The Consumer Rights Act 2015,</w:t>
      </w:r>
      <w:r w:rsidRPr="00932C3E">
        <w:rPr>
          <w:rFonts w:asciiTheme="majorHAnsi" w:hAnsiTheme="majorHAnsi"/>
          <w:sz w:val="22"/>
          <w:szCs w:val="22"/>
        </w:rPr>
        <w:t xml:space="preserve"> </w:t>
      </w:r>
      <w:r w:rsidR="00C71F3F" w:rsidRPr="00932C3E">
        <w:rPr>
          <w:rFonts w:asciiTheme="majorHAnsi" w:hAnsiTheme="majorHAnsi"/>
          <w:sz w:val="22"/>
          <w:szCs w:val="22"/>
        </w:rPr>
        <w:t>imposing</w:t>
      </w:r>
      <w:r w:rsidR="001A363B" w:rsidRPr="00932C3E">
        <w:rPr>
          <w:rFonts w:asciiTheme="majorHAnsi" w:hAnsiTheme="majorHAnsi"/>
          <w:sz w:val="22"/>
          <w:szCs w:val="22"/>
        </w:rPr>
        <w:t xml:space="preserve"> a duty of good faith, </w:t>
      </w:r>
      <w:r w:rsidRPr="00932C3E">
        <w:rPr>
          <w:rFonts w:asciiTheme="majorHAnsi" w:hAnsiTheme="majorHAnsi"/>
          <w:sz w:val="22"/>
          <w:szCs w:val="22"/>
        </w:rPr>
        <w:t>aside</w:t>
      </w:r>
      <w:commentRangeEnd w:id="0"/>
      <w:r w:rsidR="00C75D90" w:rsidRPr="00932C3E">
        <w:rPr>
          <w:rStyle w:val="CommentReference"/>
          <w:rFonts w:asciiTheme="majorHAnsi" w:hAnsiTheme="majorHAnsi"/>
          <w:sz w:val="22"/>
          <w:szCs w:val="22"/>
        </w:rPr>
        <w:commentReference w:id="0"/>
      </w:r>
      <w:r w:rsidRPr="00932C3E">
        <w:rPr>
          <w:rFonts w:asciiTheme="majorHAnsi" w:hAnsiTheme="majorHAnsi"/>
          <w:sz w:val="22"/>
          <w:szCs w:val="22"/>
        </w:rPr>
        <w:t xml:space="preserve">, this essay will </w:t>
      </w:r>
      <w:r w:rsidR="001A363B" w:rsidRPr="00932C3E">
        <w:rPr>
          <w:rFonts w:asciiTheme="majorHAnsi" w:hAnsiTheme="majorHAnsi"/>
          <w:sz w:val="22"/>
          <w:szCs w:val="22"/>
        </w:rPr>
        <w:t>ascertain</w:t>
      </w:r>
      <w:r w:rsidRPr="00932C3E">
        <w:rPr>
          <w:rFonts w:asciiTheme="majorHAnsi" w:hAnsiTheme="majorHAnsi"/>
          <w:sz w:val="22"/>
          <w:szCs w:val="22"/>
        </w:rPr>
        <w:t xml:space="preserve"> to what extent </w:t>
      </w:r>
      <w:commentRangeStart w:id="1"/>
      <w:r w:rsidRPr="00932C3E">
        <w:rPr>
          <w:rFonts w:asciiTheme="majorHAnsi" w:hAnsiTheme="majorHAnsi"/>
          <w:sz w:val="22"/>
          <w:szCs w:val="22"/>
        </w:rPr>
        <w:t>commercial</w:t>
      </w:r>
      <w:commentRangeEnd w:id="1"/>
      <w:r w:rsidR="00C75D90">
        <w:rPr>
          <w:rStyle w:val="CommentReference"/>
        </w:rPr>
        <w:commentReference w:id="1"/>
      </w:r>
      <w:r w:rsidRPr="00932C3E">
        <w:rPr>
          <w:rFonts w:asciiTheme="majorHAnsi" w:hAnsiTheme="majorHAnsi"/>
          <w:sz w:val="22"/>
          <w:szCs w:val="22"/>
        </w:rPr>
        <w:t xml:space="preserve"> contract law </w:t>
      </w:r>
      <w:r w:rsidR="001A363B" w:rsidRPr="00932C3E">
        <w:rPr>
          <w:rFonts w:asciiTheme="majorHAnsi" w:hAnsiTheme="majorHAnsi"/>
          <w:sz w:val="22"/>
          <w:szCs w:val="22"/>
        </w:rPr>
        <w:t>sticks</w:t>
      </w:r>
      <w:r w:rsidRPr="00932C3E">
        <w:rPr>
          <w:rFonts w:asciiTheme="majorHAnsi" w:hAnsiTheme="majorHAnsi"/>
          <w:sz w:val="22"/>
          <w:szCs w:val="22"/>
        </w:rPr>
        <w:t xml:space="preserve"> to the orthodox principle above and whether the reasons given to justify it are convincing. </w:t>
      </w:r>
      <w:r w:rsidR="001A363B" w:rsidRPr="00932C3E">
        <w:rPr>
          <w:rFonts w:asciiTheme="majorHAnsi" w:hAnsiTheme="majorHAnsi"/>
          <w:sz w:val="22"/>
          <w:szCs w:val="22"/>
        </w:rPr>
        <w:t>I</w:t>
      </w:r>
      <w:r w:rsidRPr="00932C3E">
        <w:rPr>
          <w:rFonts w:asciiTheme="majorHAnsi" w:hAnsiTheme="majorHAnsi"/>
          <w:sz w:val="22"/>
          <w:szCs w:val="22"/>
        </w:rPr>
        <w:t>t will be evaluated to what extent various duties of good faith can be found in the case law, and how judges have circumvented the rejection of the general doctrine by developing the notion of good faith incrementally. It will be argued that the time has come for English contract law formally</w:t>
      </w:r>
      <w:r w:rsidR="006149BB" w:rsidRPr="00932C3E">
        <w:rPr>
          <w:rFonts w:asciiTheme="majorHAnsi" w:hAnsiTheme="majorHAnsi"/>
          <w:sz w:val="22"/>
          <w:szCs w:val="22"/>
        </w:rPr>
        <w:t xml:space="preserve"> to</w:t>
      </w:r>
      <w:r w:rsidRPr="00932C3E">
        <w:rPr>
          <w:rFonts w:asciiTheme="majorHAnsi" w:hAnsiTheme="majorHAnsi"/>
          <w:sz w:val="22"/>
          <w:szCs w:val="22"/>
        </w:rPr>
        <w:t xml:space="preserve"> accept the good faith requirement, both because it has already entered through the backdoor </w:t>
      </w:r>
      <w:r w:rsidR="006149BB" w:rsidRPr="00932C3E">
        <w:rPr>
          <w:rFonts w:asciiTheme="majorHAnsi" w:hAnsiTheme="majorHAnsi"/>
          <w:sz w:val="22"/>
          <w:szCs w:val="22"/>
        </w:rPr>
        <w:t xml:space="preserve">via </w:t>
      </w:r>
      <w:r w:rsidRPr="00932C3E">
        <w:rPr>
          <w:rFonts w:asciiTheme="majorHAnsi" w:hAnsiTheme="majorHAnsi"/>
          <w:sz w:val="22"/>
          <w:szCs w:val="22"/>
        </w:rPr>
        <w:t xml:space="preserve">the doctrine of implication of terms in fact and in law and for </w:t>
      </w:r>
      <w:commentRangeStart w:id="2"/>
      <w:r w:rsidRPr="00932C3E">
        <w:rPr>
          <w:rFonts w:asciiTheme="majorHAnsi" w:hAnsiTheme="majorHAnsi"/>
          <w:sz w:val="22"/>
          <w:szCs w:val="22"/>
        </w:rPr>
        <w:t>normative reasons</w:t>
      </w:r>
      <w:r w:rsidR="00C75D90">
        <w:rPr>
          <w:rFonts w:asciiTheme="majorHAnsi" w:hAnsiTheme="majorHAnsi"/>
          <w:sz w:val="22"/>
          <w:szCs w:val="22"/>
        </w:rPr>
        <w:t>,</w:t>
      </w:r>
      <w:r w:rsidR="006149BB" w:rsidRPr="00932C3E">
        <w:rPr>
          <w:rFonts w:asciiTheme="majorHAnsi" w:hAnsiTheme="majorHAnsi"/>
          <w:sz w:val="22"/>
          <w:szCs w:val="22"/>
        </w:rPr>
        <w:t xml:space="preserve"> </w:t>
      </w:r>
      <w:commentRangeEnd w:id="2"/>
      <w:r w:rsidR="00C75D90">
        <w:rPr>
          <w:rStyle w:val="CommentReference"/>
        </w:rPr>
        <w:commentReference w:id="2"/>
      </w:r>
      <w:r w:rsidRPr="00932C3E">
        <w:rPr>
          <w:rFonts w:asciiTheme="majorHAnsi" w:hAnsiTheme="majorHAnsi"/>
          <w:sz w:val="22"/>
          <w:szCs w:val="22"/>
        </w:rPr>
        <w:t xml:space="preserve">including avoidance of frustration of legitimate expectations of business people and </w:t>
      </w:r>
      <w:r w:rsidR="00C71F3F" w:rsidRPr="00932C3E">
        <w:rPr>
          <w:rFonts w:asciiTheme="majorHAnsi" w:hAnsiTheme="majorHAnsi"/>
          <w:sz w:val="22"/>
          <w:szCs w:val="22"/>
        </w:rPr>
        <w:t>the promotion of coherency in contract law</w:t>
      </w:r>
      <w:r w:rsidRPr="00932C3E">
        <w:rPr>
          <w:rFonts w:asciiTheme="majorHAnsi" w:hAnsiTheme="majorHAnsi"/>
          <w:sz w:val="22"/>
          <w:szCs w:val="22"/>
        </w:rPr>
        <w:t xml:space="preserve">. </w:t>
      </w:r>
    </w:p>
    <w:p w14:paraId="10C5ADF7" w14:textId="77777777" w:rsidR="00DF6828" w:rsidRPr="00932C3E" w:rsidRDefault="00DF6828" w:rsidP="00DF6828">
      <w:pPr>
        <w:jc w:val="both"/>
        <w:rPr>
          <w:rFonts w:asciiTheme="majorHAnsi" w:hAnsiTheme="majorHAnsi"/>
          <w:sz w:val="22"/>
          <w:szCs w:val="22"/>
        </w:rPr>
      </w:pPr>
    </w:p>
    <w:p w14:paraId="0AAF996D" w14:textId="4FA67917" w:rsidR="00DF6828" w:rsidRPr="00932C3E" w:rsidRDefault="00DF6828" w:rsidP="00DF6828">
      <w:pPr>
        <w:jc w:val="both"/>
        <w:rPr>
          <w:rFonts w:asciiTheme="majorHAnsi" w:hAnsiTheme="majorHAnsi"/>
          <w:sz w:val="22"/>
          <w:szCs w:val="22"/>
        </w:rPr>
      </w:pPr>
      <w:r w:rsidRPr="00932C3E">
        <w:rPr>
          <w:rFonts w:asciiTheme="majorHAnsi" w:hAnsiTheme="majorHAnsi"/>
          <w:sz w:val="22"/>
          <w:szCs w:val="22"/>
        </w:rPr>
        <w:t xml:space="preserve">There is consistent authority </w:t>
      </w:r>
      <w:r w:rsidR="00F514EA" w:rsidRPr="00932C3E">
        <w:rPr>
          <w:rFonts w:asciiTheme="majorHAnsi" w:hAnsiTheme="majorHAnsi"/>
          <w:sz w:val="22"/>
          <w:szCs w:val="22"/>
        </w:rPr>
        <w:t>denying the existence of</w:t>
      </w:r>
      <w:r w:rsidR="007647D6" w:rsidRPr="00932C3E">
        <w:rPr>
          <w:rFonts w:asciiTheme="majorHAnsi" w:hAnsiTheme="majorHAnsi"/>
          <w:sz w:val="22"/>
          <w:szCs w:val="22"/>
        </w:rPr>
        <w:t xml:space="preserve"> </w:t>
      </w:r>
      <w:r w:rsidR="00F514EA" w:rsidRPr="00932C3E">
        <w:rPr>
          <w:rFonts w:asciiTheme="majorHAnsi" w:hAnsiTheme="majorHAnsi"/>
          <w:sz w:val="22"/>
          <w:szCs w:val="22"/>
        </w:rPr>
        <w:t xml:space="preserve">a </w:t>
      </w:r>
      <w:r w:rsidRPr="00932C3E">
        <w:rPr>
          <w:rFonts w:asciiTheme="majorHAnsi" w:hAnsiTheme="majorHAnsi"/>
          <w:sz w:val="22"/>
          <w:szCs w:val="22"/>
        </w:rPr>
        <w:t xml:space="preserve">general duty of good faith. Thus, Lord </w:t>
      </w:r>
      <w:proofErr w:type="spellStart"/>
      <w:r w:rsidRPr="00932C3E">
        <w:rPr>
          <w:rFonts w:asciiTheme="majorHAnsi" w:hAnsiTheme="majorHAnsi"/>
          <w:sz w:val="22"/>
          <w:szCs w:val="22"/>
        </w:rPr>
        <w:t>Ackner</w:t>
      </w:r>
      <w:proofErr w:type="spellEnd"/>
      <w:r w:rsidRPr="00932C3E">
        <w:rPr>
          <w:rFonts w:asciiTheme="majorHAnsi" w:hAnsiTheme="majorHAnsi"/>
          <w:sz w:val="22"/>
          <w:szCs w:val="22"/>
        </w:rPr>
        <w:t xml:space="preserve"> declared in </w:t>
      </w:r>
      <w:r w:rsidRPr="00932C3E">
        <w:rPr>
          <w:rFonts w:asciiTheme="majorHAnsi" w:hAnsiTheme="majorHAnsi"/>
          <w:i/>
          <w:sz w:val="22"/>
          <w:szCs w:val="22"/>
        </w:rPr>
        <w:t>Walford v Miles</w:t>
      </w:r>
      <w:r w:rsidRPr="00932C3E">
        <w:rPr>
          <w:rFonts w:asciiTheme="majorHAnsi" w:hAnsiTheme="majorHAnsi"/>
          <w:sz w:val="22"/>
          <w:szCs w:val="22"/>
        </w:rPr>
        <w:t xml:space="preserve"> that a lock-out clause in pre-contractual negotiations was not valid for want of a time limit. He dismissed </w:t>
      </w:r>
      <w:commentRangeStart w:id="3"/>
      <w:r w:rsidRPr="00932C3E">
        <w:rPr>
          <w:rFonts w:asciiTheme="majorHAnsi" w:hAnsiTheme="majorHAnsi"/>
          <w:sz w:val="22"/>
          <w:szCs w:val="22"/>
        </w:rPr>
        <w:t>Bingham’s</w:t>
      </w:r>
      <w:commentRangeEnd w:id="3"/>
      <w:r w:rsidR="00C75D90">
        <w:rPr>
          <w:rStyle w:val="CommentReference"/>
        </w:rPr>
        <w:commentReference w:id="3"/>
      </w:r>
      <w:r w:rsidR="006149BB" w:rsidRPr="00932C3E">
        <w:rPr>
          <w:rFonts w:asciiTheme="majorHAnsi" w:hAnsiTheme="majorHAnsi"/>
          <w:sz w:val="22"/>
          <w:szCs w:val="22"/>
        </w:rPr>
        <w:t xml:space="preserve"> </w:t>
      </w:r>
      <w:r w:rsidRPr="00932C3E">
        <w:rPr>
          <w:rFonts w:asciiTheme="majorHAnsi" w:hAnsiTheme="majorHAnsi"/>
          <w:sz w:val="22"/>
          <w:szCs w:val="22"/>
        </w:rPr>
        <w:t xml:space="preserve">suggestion of </w:t>
      </w:r>
      <w:r w:rsidR="008718B6" w:rsidRPr="00932C3E">
        <w:rPr>
          <w:rFonts w:asciiTheme="majorHAnsi" w:hAnsiTheme="majorHAnsi"/>
          <w:sz w:val="22"/>
          <w:szCs w:val="22"/>
        </w:rPr>
        <w:t>reading</w:t>
      </w:r>
      <w:r w:rsidRPr="00932C3E">
        <w:rPr>
          <w:rFonts w:asciiTheme="majorHAnsi" w:hAnsiTheme="majorHAnsi"/>
          <w:sz w:val="22"/>
          <w:szCs w:val="22"/>
        </w:rPr>
        <w:t xml:space="preserve"> in a “reasonable” time limit, </w:t>
      </w:r>
      <w:r w:rsidR="008718B6" w:rsidRPr="00932C3E">
        <w:rPr>
          <w:rFonts w:asciiTheme="majorHAnsi" w:hAnsiTheme="majorHAnsi"/>
          <w:sz w:val="22"/>
          <w:szCs w:val="22"/>
        </w:rPr>
        <w:t>arguing</w:t>
      </w:r>
      <w:r w:rsidRPr="00932C3E">
        <w:rPr>
          <w:rFonts w:asciiTheme="majorHAnsi" w:hAnsiTheme="majorHAnsi"/>
          <w:sz w:val="22"/>
          <w:szCs w:val="22"/>
        </w:rPr>
        <w:t xml:space="preserve"> that this would essentially require the parties to act in good faith, a concept irreconcilable </w:t>
      </w:r>
      <w:r w:rsidR="008718B6" w:rsidRPr="00932C3E">
        <w:rPr>
          <w:rFonts w:asciiTheme="majorHAnsi" w:hAnsiTheme="majorHAnsi"/>
          <w:sz w:val="22"/>
          <w:szCs w:val="22"/>
        </w:rPr>
        <w:t xml:space="preserve">with the adversarial position of the parties in contracts. </w:t>
      </w:r>
      <w:r w:rsidR="00F514EA" w:rsidRPr="00932C3E">
        <w:rPr>
          <w:rFonts w:asciiTheme="majorHAnsi" w:hAnsiTheme="majorHAnsi"/>
          <w:sz w:val="22"/>
          <w:szCs w:val="22"/>
        </w:rPr>
        <w:t xml:space="preserve">Similarly, Blackburn J stated in </w:t>
      </w:r>
      <w:r w:rsidR="00F514EA" w:rsidRPr="00932C3E">
        <w:rPr>
          <w:rFonts w:asciiTheme="majorHAnsi" w:hAnsiTheme="majorHAnsi"/>
          <w:i/>
          <w:sz w:val="22"/>
          <w:szCs w:val="22"/>
        </w:rPr>
        <w:t>Smith v Hughes</w:t>
      </w:r>
      <w:r w:rsidR="00F514EA" w:rsidRPr="00932C3E">
        <w:rPr>
          <w:rFonts w:asciiTheme="majorHAnsi" w:hAnsiTheme="majorHAnsi"/>
          <w:sz w:val="22"/>
          <w:szCs w:val="22"/>
        </w:rPr>
        <w:t xml:space="preserve"> that there was no duty of good faith short of deceit or fraud imposed on a vendor who k</w:t>
      </w:r>
      <w:r w:rsidR="007647D6" w:rsidRPr="00932C3E">
        <w:rPr>
          <w:rFonts w:asciiTheme="majorHAnsi" w:hAnsiTheme="majorHAnsi"/>
          <w:sz w:val="22"/>
          <w:szCs w:val="22"/>
        </w:rPr>
        <w:t>new of a buyer’s mistaken belief</w:t>
      </w:r>
      <w:r w:rsidR="00F514EA" w:rsidRPr="00932C3E">
        <w:rPr>
          <w:rFonts w:asciiTheme="majorHAnsi" w:hAnsiTheme="majorHAnsi"/>
          <w:sz w:val="22"/>
          <w:szCs w:val="22"/>
        </w:rPr>
        <w:t xml:space="preserve"> as to the nature of the subject-matter of the sale. </w:t>
      </w:r>
      <w:r w:rsidR="00D8570C" w:rsidRPr="00932C3E">
        <w:rPr>
          <w:rFonts w:asciiTheme="majorHAnsi" w:hAnsiTheme="majorHAnsi"/>
          <w:sz w:val="22"/>
          <w:szCs w:val="22"/>
        </w:rPr>
        <w:t>I</w:t>
      </w:r>
      <w:r w:rsidR="00F514EA" w:rsidRPr="00932C3E">
        <w:rPr>
          <w:rFonts w:asciiTheme="majorHAnsi" w:hAnsiTheme="majorHAnsi"/>
          <w:sz w:val="22"/>
          <w:szCs w:val="22"/>
        </w:rPr>
        <w:t xml:space="preserve">n </w:t>
      </w:r>
      <w:r w:rsidR="00F514EA" w:rsidRPr="00932C3E">
        <w:rPr>
          <w:rFonts w:asciiTheme="majorHAnsi" w:hAnsiTheme="majorHAnsi"/>
          <w:i/>
          <w:sz w:val="22"/>
          <w:szCs w:val="22"/>
        </w:rPr>
        <w:t>Yam Seng</w:t>
      </w:r>
      <w:r w:rsidR="00D8570C" w:rsidRPr="00932C3E">
        <w:rPr>
          <w:rFonts w:asciiTheme="majorHAnsi" w:hAnsiTheme="majorHAnsi"/>
          <w:i/>
          <w:sz w:val="22"/>
          <w:szCs w:val="22"/>
        </w:rPr>
        <w:t>,</w:t>
      </w:r>
      <w:r w:rsidR="00D8570C" w:rsidRPr="00932C3E">
        <w:rPr>
          <w:rFonts w:asciiTheme="majorHAnsi" w:hAnsiTheme="majorHAnsi"/>
          <w:sz w:val="22"/>
          <w:szCs w:val="22"/>
        </w:rPr>
        <w:t xml:space="preserve"> Leggatt J declined to accept</w:t>
      </w:r>
      <w:r w:rsidR="00F514EA" w:rsidRPr="00932C3E">
        <w:rPr>
          <w:rFonts w:asciiTheme="majorHAnsi" w:hAnsiTheme="majorHAnsi"/>
          <w:sz w:val="22"/>
          <w:szCs w:val="22"/>
        </w:rPr>
        <w:t xml:space="preserve"> the proposition that good faith was generally implied into contracts by law. Rather, he reached his conclusion of the existence of good faith in this particular contract by reference to the doctrine of implication of terms in</w:t>
      </w:r>
      <w:commentRangeStart w:id="4"/>
      <w:r w:rsidR="00F514EA" w:rsidRPr="00932C3E">
        <w:rPr>
          <w:rFonts w:asciiTheme="majorHAnsi" w:hAnsiTheme="majorHAnsi"/>
          <w:sz w:val="22"/>
          <w:szCs w:val="22"/>
        </w:rPr>
        <w:t xml:space="preserve"> fact</w:t>
      </w:r>
      <w:commentRangeEnd w:id="4"/>
      <w:r w:rsidR="00C75D90">
        <w:rPr>
          <w:rStyle w:val="CommentReference"/>
        </w:rPr>
        <w:commentReference w:id="4"/>
      </w:r>
      <w:r w:rsidR="00F514EA" w:rsidRPr="00932C3E">
        <w:rPr>
          <w:rFonts w:asciiTheme="majorHAnsi" w:hAnsiTheme="majorHAnsi"/>
          <w:sz w:val="22"/>
          <w:szCs w:val="22"/>
        </w:rPr>
        <w:t>,</w:t>
      </w:r>
      <w:r w:rsidR="006149BB" w:rsidRPr="00932C3E">
        <w:rPr>
          <w:rFonts w:asciiTheme="majorHAnsi" w:hAnsiTheme="majorHAnsi"/>
          <w:sz w:val="22"/>
          <w:szCs w:val="22"/>
        </w:rPr>
        <w:t xml:space="preserve"> </w:t>
      </w:r>
      <w:r w:rsidR="00F514EA" w:rsidRPr="00932C3E">
        <w:rPr>
          <w:rFonts w:asciiTheme="majorHAnsi" w:hAnsiTheme="majorHAnsi"/>
          <w:sz w:val="22"/>
          <w:szCs w:val="22"/>
        </w:rPr>
        <w:t>falling short of introducing a general good faith</w:t>
      </w:r>
      <w:r w:rsidR="006149BB" w:rsidRPr="00932C3E">
        <w:rPr>
          <w:rFonts w:asciiTheme="majorHAnsi" w:hAnsiTheme="majorHAnsi"/>
          <w:sz w:val="22"/>
          <w:szCs w:val="22"/>
        </w:rPr>
        <w:t xml:space="preserve"> requirement into contract law.</w:t>
      </w:r>
    </w:p>
    <w:p w14:paraId="448E5B66" w14:textId="77777777" w:rsidR="00F514EA" w:rsidRPr="00932C3E" w:rsidRDefault="00F514EA" w:rsidP="00DF6828">
      <w:pPr>
        <w:jc w:val="both"/>
        <w:rPr>
          <w:rFonts w:asciiTheme="majorHAnsi" w:hAnsiTheme="majorHAnsi"/>
          <w:sz w:val="22"/>
          <w:szCs w:val="22"/>
        </w:rPr>
      </w:pPr>
    </w:p>
    <w:p w14:paraId="24552C0D" w14:textId="15C490A5" w:rsidR="00F514EA" w:rsidRPr="00932C3E" w:rsidRDefault="00F514EA" w:rsidP="00DF6828">
      <w:pPr>
        <w:jc w:val="both"/>
        <w:rPr>
          <w:rFonts w:asciiTheme="majorHAnsi" w:hAnsiTheme="majorHAnsi"/>
          <w:sz w:val="22"/>
          <w:szCs w:val="22"/>
        </w:rPr>
      </w:pPr>
      <w:r w:rsidRPr="00932C3E">
        <w:rPr>
          <w:rFonts w:asciiTheme="majorHAnsi" w:hAnsiTheme="majorHAnsi"/>
          <w:sz w:val="22"/>
          <w:szCs w:val="22"/>
        </w:rPr>
        <w:t xml:space="preserve">Leggatt J in </w:t>
      </w:r>
      <w:r w:rsidRPr="00932C3E">
        <w:rPr>
          <w:rFonts w:asciiTheme="majorHAnsi" w:hAnsiTheme="majorHAnsi"/>
          <w:i/>
          <w:sz w:val="22"/>
          <w:szCs w:val="22"/>
        </w:rPr>
        <w:t>Yam Seng</w:t>
      </w:r>
      <w:r w:rsidRPr="00932C3E">
        <w:rPr>
          <w:rFonts w:asciiTheme="majorHAnsi" w:hAnsiTheme="majorHAnsi"/>
          <w:sz w:val="22"/>
          <w:szCs w:val="22"/>
        </w:rPr>
        <w:t xml:space="preserve"> identified three reasons for the English position</w:t>
      </w:r>
      <w:r w:rsidR="001A363B" w:rsidRPr="00932C3E">
        <w:rPr>
          <w:rFonts w:asciiTheme="majorHAnsi" w:hAnsiTheme="majorHAnsi"/>
          <w:sz w:val="22"/>
          <w:szCs w:val="22"/>
        </w:rPr>
        <w:t>,</w:t>
      </w:r>
      <w:r w:rsidRPr="00932C3E">
        <w:rPr>
          <w:rFonts w:asciiTheme="majorHAnsi" w:hAnsiTheme="majorHAnsi"/>
          <w:sz w:val="22"/>
          <w:szCs w:val="22"/>
        </w:rPr>
        <w:t xml:space="preserve"> which seems to be “swimming against the tide” in comparison to other European jurisdictions.</w:t>
      </w:r>
    </w:p>
    <w:p w14:paraId="2709AA19" w14:textId="77777777" w:rsidR="007647D6" w:rsidRPr="00932C3E" w:rsidRDefault="007647D6" w:rsidP="00DF6828">
      <w:pPr>
        <w:jc w:val="both"/>
        <w:rPr>
          <w:rFonts w:asciiTheme="majorHAnsi" w:hAnsiTheme="majorHAnsi"/>
          <w:sz w:val="22"/>
          <w:szCs w:val="22"/>
        </w:rPr>
      </w:pPr>
    </w:p>
    <w:p w14:paraId="64F0B73F" w14:textId="2D3684AB" w:rsidR="002F5870" w:rsidRPr="00932C3E" w:rsidRDefault="00F514EA" w:rsidP="00DF6828">
      <w:pPr>
        <w:jc w:val="both"/>
        <w:rPr>
          <w:rFonts w:asciiTheme="majorHAnsi" w:hAnsiTheme="majorHAnsi"/>
          <w:sz w:val="22"/>
          <w:szCs w:val="22"/>
        </w:rPr>
      </w:pPr>
      <w:r w:rsidRPr="00932C3E">
        <w:rPr>
          <w:rFonts w:asciiTheme="majorHAnsi" w:hAnsiTheme="majorHAnsi"/>
          <w:sz w:val="22"/>
          <w:szCs w:val="22"/>
        </w:rPr>
        <w:t xml:space="preserve">Firstly, a duty of good faith seems to be at odds with the parties’ own self-interest, as stressed by Lord </w:t>
      </w:r>
      <w:proofErr w:type="spellStart"/>
      <w:r w:rsidRPr="00932C3E">
        <w:rPr>
          <w:rFonts w:asciiTheme="majorHAnsi" w:hAnsiTheme="majorHAnsi"/>
          <w:sz w:val="22"/>
          <w:szCs w:val="22"/>
        </w:rPr>
        <w:t>Ackner</w:t>
      </w:r>
      <w:proofErr w:type="spellEnd"/>
      <w:r w:rsidRPr="00932C3E">
        <w:rPr>
          <w:rFonts w:asciiTheme="majorHAnsi" w:hAnsiTheme="majorHAnsi"/>
          <w:sz w:val="22"/>
          <w:szCs w:val="22"/>
        </w:rPr>
        <w:t xml:space="preserve"> in </w:t>
      </w:r>
      <w:r w:rsidRPr="00932C3E">
        <w:rPr>
          <w:rFonts w:asciiTheme="majorHAnsi" w:hAnsiTheme="majorHAnsi"/>
          <w:i/>
          <w:sz w:val="22"/>
          <w:szCs w:val="22"/>
        </w:rPr>
        <w:t>Walford v Miles</w:t>
      </w:r>
      <w:r w:rsidRPr="00932C3E">
        <w:rPr>
          <w:rFonts w:asciiTheme="majorHAnsi" w:hAnsiTheme="majorHAnsi"/>
          <w:sz w:val="22"/>
          <w:szCs w:val="22"/>
        </w:rPr>
        <w:t xml:space="preserve">. </w:t>
      </w:r>
      <w:r w:rsidR="002F5870" w:rsidRPr="00932C3E">
        <w:rPr>
          <w:rFonts w:asciiTheme="majorHAnsi" w:hAnsiTheme="majorHAnsi"/>
          <w:sz w:val="22"/>
          <w:szCs w:val="22"/>
        </w:rPr>
        <w:t xml:space="preserve">This reflects the traditional English conception of contracts as bargains, </w:t>
      </w:r>
      <w:r w:rsidR="008E27FF" w:rsidRPr="00932C3E">
        <w:rPr>
          <w:rFonts w:asciiTheme="majorHAnsi" w:hAnsiTheme="majorHAnsi"/>
          <w:sz w:val="22"/>
          <w:szCs w:val="22"/>
        </w:rPr>
        <w:t xml:space="preserve">the content of which is ascertained by an objective standard, </w:t>
      </w:r>
      <w:r w:rsidR="002F5870" w:rsidRPr="00932C3E">
        <w:rPr>
          <w:rFonts w:asciiTheme="majorHAnsi" w:hAnsiTheme="majorHAnsi"/>
          <w:sz w:val="22"/>
          <w:szCs w:val="22"/>
        </w:rPr>
        <w:t xml:space="preserve">rather than mutual agreements. Each party seeks to maximise its own profits, regardless of the </w:t>
      </w:r>
      <w:commentRangeStart w:id="5"/>
      <w:r w:rsidR="002F5870" w:rsidRPr="00932C3E">
        <w:rPr>
          <w:rFonts w:asciiTheme="majorHAnsi" w:hAnsiTheme="majorHAnsi"/>
          <w:sz w:val="22"/>
          <w:szCs w:val="22"/>
        </w:rPr>
        <w:t>other’s interests.</w:t>
      </w:r>
      <w:r w:rsidR="006149BB" w:rsidRPr="00932C3E">
        <w:rPr>
          <w:rFonts w:asciiTheme="majorHAnsi" w:hAnsiTheme="majorHAnsi"/>
          <w:sz w:val="22"/>
          <w:szCs w:val="22"/>
        </w:rPr>
        <w:t xml:space="preserve"> </w:t>
      </w:r>
      <w:commentRangeEnd w:id="5"/>
      <w:r w:rsidR="00C75D90">
        <w:rPr>
          <w:rStyle w:val="CommentReference"/>
        </w:rPr>
        <w:commentReference w:id="5"/>
      </w:r>
      <w:r w:rsidR="006149BB" w:rsidRPr="00932C3E">
        <w:rPr>
          <w:rFonts w:asciiTheme="majorHAnsi" w:hAnsiTheme="majorHAnsi"/>
          <w:sz w:val="22"/>
          <w:szCs w:val="22"/>
        </w:rPr>
        <w:t>]</w:t>
      </w:r>
      <w:r w:rsidR="002F5870" w:rsidRPr="00932C3E">
        <w:rPr>
          <w:rFonts w:asciiTheme="majorHAnsi" w:hAnsiTheme="majorHAnsi"/>
          <w:sz w:val="22"/>
          <w:szCs w:val="22"/>
        </w:rPr>
        <w:t xml:space="preserve"> However, this traditional conception is not irreconcilable with good faith. </w:t>
      </w:r>
      <w:r w:rsidR="00D8570C" w:rsidRPr="00932C3E">
        <w:rPr>
          <w:rFonts w:asciiTheme="majorHAnsi" w:hAnsiTheme="majorHAnsi"/>
          <w:sz w:val="22"/>
          <w:szCs w:val="22"/>
        </w:rPr>
        <w:t>T</w:t>
      </w:r>
      <w:r w:rsidR="002F5870" w:rsidRPr="00932C3E">
        <w:rPr>
          <w:rFonts w:asciiTheme="majorHAnsi" w:hAnsiTheme="majorHAnsi"/>
          <w:sz w:val="22"/>
          <w:szCs w:val="22"/>
        </w:rPr>
        <w:t xml:space="preserve">here </w:t>
      </w:r>
      <w:r w:rsidR="00652F85" w:rsidRPr="00932C3E">
        <w:rPr>
          <w:rFonts w:asciiTheme="majorHAnsi" w:hAnsiTheme="majorHAnsi"/>
          <w:sz w:val="22"/>
          <w:szCs w:val="22"/>
        </w:rPr>
        <w:t>is an intrinsic morality within</w:t>
      </w:r>
      <w:r w:rsidR="002F5870" w:rsidRPr="00932C3E">
        <w:rPr>
          <w:rFonts w:asciiTheme="majorHAnsi" w:hAnsiTheme="majorHAnsi"/>
          <w:sz w:val="22"/>
          <w:szCs w:val="22"/>
        </w:rPr>
        <w:t xml:space="preserve"> the </w:t>
      </w:r>
      <w:r w:rsidR="008E27FF" w:rsidRPr="00932C3E">
        <w:rPr>
          <w:rFonts w:asciiTheme="majorHAnsi" w:hAnsiTheme="majorHAnsi"/>
          <w:sz w:val="22"/>
          <w:szCs w:val="22"/>
        </w:rPr>
        <w:t xml:space="preserve">objectivity principle. The question is not </w:t>
      </w:r>
      <w:r w:rsidR="00BA1AB0" w:rsidRPr="00932C3E">
        <w:rPr>
          <w:rFonts w:asciiTheme="majorHAnsi" w:hAnsiTheme="majorHAnsi"/>
          <w:sz w:val="22"/>
          <w:szCs w:val="22"/>
        </w:rPr>
        <w:t>whether</w:t>
      </w:r>
      <w:r w:rsidR="008E27FF" w:rsidRPr="00932C3E">
        <w:rPr>
          <w:rFonts w:asciiTheme="majorHAnsi" w:hAnsiTheme="majorHAnsi"/>
          <w:sz w:val="22"/>
          <w:szCs w:val="22"/>
        </w:rPr>
        <w:t xml:space="preserve"> either party would regard certain conduct as improper, but whether in the particular context the conduct would be regarded as imprope</w:t>
      </w:r>
      <w:r w:rsidR="00BA1AB0" w:rsidRPr="00932C3E">
        <w:rPr>
          <w:rFonts w:asciiTheme="majorHAnsi" w:hAnsiTheme="majorHAnsi"/>
          <w:sz w:val="22"/>
          <w:szCs w:val="22"/>
        </w:rPr>
        <w:t>r by reasonable business people, suggesting that the duty standard would be lower in pre-contractual negotiations than in the performance of a fully fleshed-out contract.</w:t>
      </w:r>
      <w:r w:rsidR="008E27FF" w:rsidRPr="00932C3E">
        <w:rPr>
          <w:rFonts w:asciiTheme="majorHAnsi" w:hAnsiTheme="majorHAnsi"/>
          <w:sz w:val="22"/>
          <w:szCs w:val="22"/>
        </w:rPr>
        <w:t xml:space="preserve"> Adopting Leggatt J’s perception of good faith as including duties such as honesty, not to act capriciously or absurdly, to reasonably bring a change of </w:t>
      </w:r>
      <w:r w:rsidR="007647D6" w:rsidRPr="00932C3E">
        <w:rPr>
          <w:rFonts w:asciiTheme="majorHAnsi" w:hAnsiTheme="majorHAnsi"/>
          <w:sz w:val="22"/>
          <w:szCs w:val="22"/>
        </w:rPr>
        <w:t>circumstances</w:t>
      </w:r>
      <w:r w:rsidR="008E27FF" w:rsidRPr="00932C3E">
        <w:rPr>
          <w:rFonts w:asciiTheme="majorHAnsi" w:hAnsiTheme="majorHAnsi"/>
          <w:sz w:val="22"/>
          <w:szCs w:val="22"/>
        </w:rPr>
        <w:t xml:space="preserve"> to the attention of the other party and to not frustrate legitimate expectations </w:t>
      </w:r>
      <w:commentRangeStart w:id="6"/>
      <w:r w:rsidR="008E27FF" w:rsidRPr="00932C3E">
        <w:rPr>
          <w:rFonts w:asciiTheme="majorHAnsi" w:hAnsiTheme="majorHAnsi"/>
          <w:sz w:val="22"/>
          <w:szCs w:val="22"/>
        </w:rPr>
        <w:t>unreasonably</w:t>
      </w:r>
      <w:commentRangeEnd w:id="6"/>
      <w:r w:rsidR="00C75D90">
        <w:rPr>
          <w:rStyle w:val="CommentReference"/>
        </w:rPr>
        <w:commentReference w:id="6"/>
      </w:r>
      <w:r w:rsidR="008E27FF" w:rsidRPr="00932C3E">
        <w:rPr>
          <w:rFonts w:asciiTheme="majorHAnsi" w:hAnsiTheme="majorHAnsi"/>
          <w:sz w:val="22"/>
          <w:szCs w:val="22"/>
        </w:rPr>
        <w:t>,</w:t>
      </w:r>
      <w:r w:rsidR="003247F6" w:rsidRPr="00932C3E">
        <w:rPr>
          <w:rFonts w:asciiTheme="majorHAnsi" w:hAnsiTheme="majorHAnsi"/>
          <w:sz w:val="22"/>
          <w:szCs w:val="22"/>
        </w:rPr>
        <w:t xml:space="preserve"> </w:t>
      </w:r>
      <w:r w:rsidR="008E27FF" w:rsidRPr="00932C3E">
        <w:rPr>
          <w:rFonts w:asciiTheme="majorHAnsi" w:hAnsiTheme="majorHAnsi"/>
          <w:sz w:val="22"/>
          <w:szCs w:val="22"/>
        </w:rPr>
        <w:t xml:space="preserve">there is no reason why the parties would be prevented from acting in their own best interest if they were subject to a duty of good faith at the same time. </w:t>
      </w:r>
      <w:r w:rsidR="007647D6" w:rsidRPr="00932C3E">
        <w:rPr>
          <w:rFonts w:asciiTheme="majorHAnsi" w:hAnsiTheme="majorHAnsi"/>
          <w:sz w:val="22"/>
          <w:szCs w:val="22"/>
        </w:rPr>
        <w:t>Moreover, such a duty would not introduce novel concepts into contract law. A party’s own self-interest</w:t>
      </w:r>
      <w:r w:rsidR="007D7C9C" w:rsidRPr="00932C3E">
        <w:rPr>
          <w:rFonts w:asciiTheme="majorHAnsi" w:hAnsiTheme="majorHAnsi"/>
          <w:sz w:val="22"/>
          <w:szCs w:val="22"/>
        </w:rPr>
        <w:t xml:space="preserve"> in both pre-contractual negotiations and contractual performance</w:t>
      </w:r>
      <w:r w:rsidR="007647D6" w:rsidRPr="00932C3E">
        <w:rPr>
          <w:rFonts w:asciiTheme="majorHAnsi" w:hAnsiTheme="majorHAnsi"/>
          <w:sz w:val="22"/>
          <w:szCs w:val="22"/>
        </w:rPr>
        <w:t xml:space="preserve"> is already limited by</w:t>
      </w:r>
      <w:r w:rsidR="007D152C" w:rsidRPr="00932C3E">
        <w:rPr>
          <w:rFonts w:asciiTheme="majorHAnsi" w:hAnsiTheme="majorHAnsi"/>
          <w:sz w:val="22"/>
          <w:szCs w:val="22"/>
        </w:rPr>
        <w:t xml:space="preserve"> the</w:t>
      </w:r>
      <w:r w:rsidR="007647D6" w:rsidRPr="00932C3E">
        <w:rPr>
          <w:rFonts w:asciiTheme="majorHAnsi" w:hAnsiTheme="majorHAnsi"/>
          <w:sz w:val="22"/>
          <w:szCs w:val="22"/>
        </w:rPr>
        <w:t xml:space="preserve"> doctrines of duress and </w:t>
      </w:r>
      <w:commentRangeStart w:id="7"/>
      <w:r w:rsidR="007647D6" w:rsidRPr="00932C3E">
        <w:rPr>
          <w:rFonts w:asciiTheme="majorHAnsi" w:hAnsiTheme="majorHAnsi"/>
          <w:sz w:val="22"/>
          <w:szCs w:val="22"/>
        </w:rPr>
        <w:t xml:space="preserve">unconscionability. </w:t>
      </w:r>
      <w:commentRangeEnd w:id="7"/>
      <w:r w:rsidR="00C75D90">
        <w:rPr>
          <w:rStyle w:val="CommentReference"/>
        </w:rPr>
        <w:commentReference w:id="7"/>
      </w:r>
    </w:p>
    <w:p w14:paraId="7D3C5A0D" w14:textId="77777777" w:rsidR="00542CC3" w:rsidRPr="00932C3E" w:rsidRDefault="00542CC3" w:rsidP="00DF6828">
      <w:pPr>
        <w:jc w:val="both"/>
        <w:rPr>
          <w:rFonts w:asciiTheme="majorHAnsi" w:hAnsiTheme="majorHAnsi"/>
          <w:sz w:val="22"/>
          <w:szCs w:val="22"/>
        </w:rPr>
      </w:pPr>
    </w:p>
    <w:p w14:paraId="0F57A6F4" w14:textId="1943F59D" w:rsidR="00542CC3" w:rsidRPr="00932C3E" w:rsidRDefault="00542CC3" w:rsidP="00DF6828">
      <w:pPr>
        <w:jc w:val="both"/>
        <w:rPr>
          <w:rFonts w:asciiTheme="majorHAnsi" w:hAnsiTheme="majorHAnsi"/>
          <w:sz w:val="22"/>
          <w:szCs w:val="22"/>
        </w:rPr>
      </w:pPr>
      <w:r w:rsidRPr="00932C3E">
        <w:rPr>
          <w:rFonts w:asciiTheme="majorHAnsi" w:hAnsiTheme="majorHAnsi"/>
          <w:sz w:val="22"/>
          <w:szCs w:val="22"/>
        </w:rPr>
        <w:lastRenderedPageBreak/>
        <w:t xml:space="preserve">The second reason for the English dislike of a general requirement of good faith is its general preference for piecemeal solutions rather than overarching </w:t>
      </w:r>
      <w:commentRangeStart w:id="8"/>
      <w:r w:rsidRPr="00932C3E">
        <w:rPr>
          <w:rFonts w:asciiTheme="majorHAnsi" w:hAnsiTheme="majorHAnsi"/>
          <w:sz w:val="22"/>
          <w:szCs w:val="22"/>
        </w:rPr>
        <w:t>principles</w:t>
      </w:r>
      <w:commentRangeEnd w:id="8"/>
      <w:r w:rsidR="00C61375">
        <w:rPr>
          <w:rStyle w:val="CommentReference"/>
        </w:rPr>
        <w:commentReference w:id="8"/>
      </w:r>
      <w:r w:rsidR="00C61375">
        <w:rPr>
          <w:rFonts w:asciiTheme="majorHAnsi" w:hAnsiTheme="majorHAnsi"/>
          <w:sz w:val="22"/>
          <w:szCs w:val="22"/>
        </w:rPr>
        <w:t>.</w:t>
      </w:r>
      <w:r w:rsidR="003247F6" w:rsidRPr="00932C3E">
        <w:rPr>
          <w:rFonts w:asciiTheme="majorHAnsi" w:hAnsiTheme="majorHAnsi"/>
          <w:sz w:val="22"/>
          <w:szCs w:val="22"/>
        </w:rPr>
        <w:t xml:space="preserve"> </w:t>
      </w:r>
      <w:r w:rsidR="00D8570C" w:rsidRPr="00932C3E">
        <w:rPr>
          <w:rFonts w:asciiTheme="majorHAnsi" w:hAnsiTheme="majorHAnsi"/>
          <w:sz w:val="22"/>
          <w:szCs w:val="22"/>
        </w:rPr>
        <w:t>T</w:t>
      </w:r>
      <w:r w:rsidRPr="00932C3E">
        <w:rPr>
          <w:rFonts w:asciiTheme="majorHAnsi" w:hAnsiTheme="majorHAnsi"/>
          <w:sz w:val="22"/>
          <w:szCs w:val="22"/>
        </w:rPr>
        <w:t xml:space="preserve">his is the real crux explaining the English aversion against good faith. In light of lessons learned from German law for example this reason does not hold up. Although good faith is imposed by the Civil Code in this jurisdiction, this rather meaningless label has been filled with content through the jurisprudence of the courts on a case-by-case basis. </w:t>
      </w:r>
      <w:r w:rsidR="00D8570C" w:rsidRPr="00932C3E">
        <w:rPr>
          <w:rFonts w:asciiTheme="majorHAnsi" w:hAnsiTheme="majorHAnsi"/>
          <w:sz w:val="22"/>
          <w:szCs w:val="22"/>
        </w:rPr>
        <w:t>I</w:t>
      </w:r>
      <w:r w:rsidRPr="00932C3E">
        <w:rPr>
          <w:rFonts w:asciiTheme="majorHAnsi" w:hAnsiTheme="majorHAnsi"/>
          <w:sz w:val="22"/>
          <w:szCs w:val="22"/>
        </w:rPr>
        <w:t>t is somewhat ironic that English orthodoxy seems to find it impossible to reconcile generality with an incremental approach in light of the way in which the tort of negligence has developed. Despite the general na</w:t>
      </w:r>
      <w:r w:rsidR="0048381C" w:rsidRPr="00932C3E">
        <w:rPr>
          <w:rFonts w:asciiTheme="majorHAnsi" w:hAnsiTheme="majorHAnsi"/>
          <w:sz w:val="22"/>
          <w:szCs w:val="22"/>
        </w:rPr>
        <w:t>ture of the neighbour principle</w:t>
      </w:r>
      <w:r w:rsidRPr="00932C3E">
        <w:rPr>
          <w:rFonts w:asciiTheme="majorHAnsi" w:hAnsiTheme="majorHAnsi"/>
          <w:sz w:val="22"/>
          <w:szCs w:val="22"/>
        </w:rPr>
        <w:t xml:space="preserve"> (</w:t>
      </w:r>
      <w:r w:rsidRPr="00932C3E">
        <w:rPr>
          <w:rFonts w:asciiTheme="majorHAnsi" w:hAnsiTheme="majorHAnsi"/>
          <w:i/>
          <w:sz w:val="22"/>
          <w:szCs w:val="22"/>
        </w:rPr>
        <w:t>Donoghue v Stevenson</w:t>
      </w:r>
      <w:r w:rsidRPr="00932C3E">
        <w:rPr>
          <w:rFonts w:asciiTheme="majorHAnsi" w:hAnsiTheme="majorHAnsi"/>
          <w:sz w:val="22"/>
          <w:szCs w:val="22"/>
        </w:rPr>
        <w:t xml:space="preserve">) this has in no way impeded the incremental development of the various duties of care in negligence. Seeing as good faith is a heavily context-dependent concept, accepting it as a general requirement would in no way </w:t>
      </w:r>
      <w:r w:rsidR="00154357" w:rsidRPr="00932C3E">
        <w:rPr>
          <w:rFonts w:asciiTheme="majorHAnsi" w:hAnsiTheme="majorHAnsi"/>
          <w:sz w:val="22"/>
          <w:szCs w:val="22"/>
        </w:rPr>
        <w:t xml:space="preserve">inhibit the courts from judging </w:t>
      </w:r>
      <w:r w:rsidRPr="00932C3E">
        <w:rPr>
          <w:rFonts w:asciiTheme="majorHAnsi" w:hAnsiTheme="majorHAnsi"/>
          <w:sz w:val="22"/>
          <w:szCs w:val="22"/>
        </w:rPr>
        <w:t xml:space="preserve">a case on its individual facts and </w:t>
      </w:r>
      <w:commentRangeStart w:id="9"/>
      <w:r w:rsidRPr="00932C3E">
        <w:rPr>
          <w:rFonts w:asciiTheme="majorHAnsi" w:hAnsiTheme="majorHAnsi"/>
          <w:sz w:val="22"/>
          <w:szCs w:val="22"/>
        </w:rPr>
        <w:t xml:space="preserve">merits. </w:t>
      </w:r>
      <w:commentRangeEnd w:id="9"/>
      <w:r w:rsidR="00C61375">
        <w:rPr>
          <w:rStyle w:val="CommentReference"/>
        </w:rPr>
        <w:commentReference w:id="9"/>
      </w:r>
    </w:p>
    <w:p w14:paraId="15A9481C" w14:textId="77777777" w:rsidR="00542CC3" w:rsidRPr="00932C3E" w:rsidRDefault="00542CC3" w:rsidP="00DF6828">
      <w:pPr>
        <w:jc w:val="both"/>
        <w:rPr>
          <w:rFonts w:asciiTheme="majorHAnsi" w:hAnsiTheme="majorHAnsi"/>
          <w:sz w:val="22"/>
          <w:szCs w:val="22"/>
        </w:rPr>
      </w:pPr>
    </w:p>
    <w:p w14:paraId="28F62CD8" w14:textId="24959C09" w:rsidR="00542CC3" w:rsidRPr="00932C3E" w:rsidRDefault="00542CC3" w:rsidP="00DF6828">
      <w:pPr>
        <w:jc w:val="both"/>
        <w:rPr>
          <w:rFonts w:asciiTheme="majorHAnsi" w:hAnsiTheme="majorHAnsi"/>
          <w:sz w:val="22"/>
          <w:szCs w:val="22"/>
        </w:rPr>
      </w:pPr>
      <w:r w:rsidRPr="00932C3E">
        <w:rPr>
          <w:rFonts w:asciiTheme="majorHAnsi" w:hAnsiTheme="majorHAnsi"/>
          <w:sz w:val="22"/>
          <w:szCs w:val="22"/>
        </w:rPr>
        <w:t>Thirdly, English orthodoxy rejects good faith on the basis that it would lead to uncertainty: a party would not know whether it acted in good faith before a court adjud</w:t>
      </w:r>
      <w:r w:rsidR="0058752A" w:rsidRPr="00932C3E">
        <w:rPr>
          <w:rFonts w:asciiTheme="majorHAnsi" w:hAnsiTheme="majorHAnsi"/>
          <w:sz w:val="22"/>
          <w:szCs w:val="22"/>
        </w:rPr>
        <w:t xml:space="preserve">icated on the matter. However, </w:t>
      </w:r>
      <w:r w:rsidRPr="00932C3E">
        <w:rPr>
          <w:rFonts w:asciiTheme="majorHAnsi" w:hAnsiTheme="majorHAnsi"/>
          <w:sz w:val="22"/>
          <w:szCs w:val="22"/>
        </w:rPr>
        <w:t>determining whether a certain type of conduct was in good faith or not amounts to nothing but ordinary interpretation of the contract based on the objectivity principle</w:t>
      </w:r>
      <w:r w:rsidR="0058752A" w:rsidRPr="00932C3E">
        <w:rPr>
          <w:rFonts w:asciiTheme="majorHAnsi" w:hAnsiTheme="majorHAnsi"/>
          <w:sz w:val="22"/>
          <w:szCs w:val="22"/>
        </w:rPr>
        <w:t xml:space="preserve"> (</w:t>
      </w:r>
      <w:r w:rsidR="0058752A" w:rsidRPr="00932C3E">
        <w:rPr>
          <w:rFonts w:asciiTheme="majorHAnsi" w:hAnsiTheme="majorHAnsi"/>
          <w:i/>
          <w:sz w:val="22"/>
          <w:szCs w:val="22"/>
        </w:rPr>
        <w:t>Yam Seng</w:t>
      </w:r>
      <w:r w:rsidR="0058752A" w:rsidRPr="00932C3E">
        <w:rPr>
          <w:rFonts w:asciiTheme="majorHAnsi" w:hAnsiTheme="majorHAnsi"/>
          <w:sz w:val="22"/>
          <w:szCs w:val="22"/>
        </w:rPr>
        <w:t>)</w:t>
      </w:r>
      <w:r w:rsidRPr="00932C3E">
        <w:rPr>
          <w:rFonts w:asciiTheme="majorHAnsi" w:hAnsiTheme="majorHAnsi"/>
          <w:sz w:val="22"/>
          <w:szCs w:val="22"/>
        </w:rPr>
        <w:t xml:space="preserve">. </w:t>
      </w:r>
      <w:r w:rsidR="00D8570C" w:rsidRPr="00932C3E">
        <w:rPr>
          <w:rFonts w:asciiTheme="majorHAnsi" w:hAnsiTheme="majorHAnsi"/>
          <w:sz w:val="22"/>
          <w:szCs w:val="22"/>
        </w:rPr>
        <w:t>T</w:t>
      </w:r>
      <w:r w:rsidRPr="00932C3E">
        <w:rPr>
          <w:rFonts w:asciiTheme="majorHAnsi" w:hAnsiTheme="majorHAnsi"/>
          <w:sz w:val="22"/>
          <w:szCs w:val="22"/>
        </w:rPr>
        <w:t xml:space="preserve">he type of contract should be determinative of what standard a duty of good faith imposes. </w:t>
      </w:r>
      <w:r w:rsidR="0048381C" w:rsidRPr="00932C3E">
        <w:rPr>
          <w:rFonts w:asciiTheme="majorHAnsi" w:hAnsiTheme="majorHAnsi"/>
          <w:sz w:val="22"/>
          <w:szCs w:val="22"/>
        </w:rPr>
        <w:t>Factors</w:t>
      </w:r>
      <w:r w:rsidR="001A363B" w:rsidRPr="00932C3E">
        <w:rPr>
          <w:rFonts w:asciiTheme="majorHAnsi" w:hAnsiTheme="majorHAnsi"/>
          <w:sz w:val="22"/>
          <w:szCs w:val="22"/>
        </w:rPr>
        <w:t xml:space="preserve"> that might play a role include business practice and other commercial codes of conduct. In this way good faith is ascertainable from the beginning and does not give rise to much </w:t>
      </w:r>
      <w:commentRangeStart w:id="10"/>
      <w:r w:rsidR="001A363B" w:rsidRPr="00932C3E">
        <w:rPr>
          <w:rFonts w:asciiTheme="majorHAnsi" w:hAnsiTheme="majorHAnsi"/>
          <w:sz w:val="22"/>
          <w:szCs w:val="22"/>
        </w:rPr>
        <w:t xml:space="preserve">uncertainty. </w:t>
      </w:r>
      <w:commentRangeEnd w:id="10"/>
      <w:r w:rsidR="00C61375">
        <w:rPr>
          <w:rStyle w:val="CommentReference"/>
        </w:rPr>
        <w:commentReference w:id="10"/>
      </w:r>
    </w:p>
    <w:p w14:paraId="66B5AC23" w14:textId="77777777" w:rsidR="00DA094C" w:rsidRPr="00932C3E" w:rsidRDefault="00DA094C" w:rsidP="00DF6828">
      <w:pPr>
        <w:jc w:val="both"/>
        <w:rPr>
          <w:rFonts w:asciiTheme="majorHAnsi" w:hAnsiTheme="majorHAnsi"/>
          <w:sz w:val="22"/>
          <w:szCs w:val="22"/>
        </w:rPr>
      </w:pPr>
    </w:p>
    <w:p w14:paraId="6E8C3C39" w14:textId="615380DF" w:rsidR="00DA094C" w:rsidRPr="00932C3E" w:rsidRDefault="00DA094C" w:rsidP="00DF6828">
      <w:pPr>
        <w:jc w:val="both"/>
        <w:rPr>
          <w:rFonts w:asciiTheme="majorHAnsi" w:hAnsiTheme="majorHAnsi"/>
          <w:sz w:val="22"/>
          <w:szCs w:val="22"/>
        </w:rPr>
      </w:pPr>
      <w:r w:rsidRPr="00932C3E">
        <w:rPr>
          <w:rFonts w:asciiTheme="majorHAnsi" w:hAnsiTheme="majorHAnsi"/>
          <w:sz w:val="22"/>
          <w:szCs w:val="22"/>
        </w:rPr>
        <w:t>There are also a number of positive reasons why English contract law should adopt a general principle of good faith</w:t>
      </w:r>
      <w:r w:rsidR="00486899" w:rsidRPr="00932C3E">
        <w:rPr>
          <w:rFonts w:asciiTheme="majorHAnsi" w:hAnsiTheme="majorHAnsi"/>
          <w:sz w:val="22"/>
          <w:szCs w:val="22"/>
        </w:rPr>
        <w:t xml:space="preserve">. These </w:t>
      </w:r>
      <w:r w:rsidR="00A1415F" w:rsidRPr="00932C3E">
        <w:rPr>
          <w:rFonts w:asciiTheme="majorHAnsi" w:hAnsiTheme="majorHAnsi"/>
          <w:sz w:val="22"/>
          <w:szCs w:val="22"/>
        </w:rPr>
        <w:t>have been recognised by the courts by imposing various duties of good faith through the implication of terms in both law and fact</w:t>
      </w:r>
      <w:r w:rsidRPr="00932C3E">
        <w:rPr>
          <w:rFonts w:asciiTheme="majorHAnsi" w:hAnsiTheme="majorHAnsi"/>
          <w:sz w:val="22"/>
          <w:szCs w:val="22"/>
        </w:rPr>
        <w:t>.</w:t>
      </w:r>
    </w:p>
    <w:p w14:paraId="7B7B4DD8" w14:textId="77777777" w:rsidR="00C71F3F" w:rsidRPr="00932C3E" w:rsidRDefault="00C71F3F" w:rsidP="00DF6828">
      <w:pPr>
        <w:jc w:val="both"/>
        <w:rPr>
          <w:rFonts w:asciiTheme="majorHAnsi" w:hAnsiTheme="majorHAnsi"/>
          <w:sz w:val="22"/>
          <w:szCs w:val="22"/>
        </w:rPr>
      </w:pPr>
    </w:p>
    <w:p w14:paraId="5B362FCF" w14:textId="418CE92B" w:rsidR="00DA094C" w:rsidRPr="00932C3E" w:rsidRDefault="00DA094C" w:rsidP="00DF6828">
      <w:pPr>
        <w:jc w:val="both"/>
        <w:rPr>
          <w:rFonts w:asciiTheme="majorHAnsi" w:hAnsiTheme="majorHAnsi"/>
          <w:sz w:val="22"/>
          <w:szCs w:val="22"/>
        </w:rPr>
      </w:pPr>
      <w:commentRangeStart w:id="11"/>
      <w:r w:rsidRPr="00932C3E">
        <w:rPr>
          <w:rFonts w:asciiTheme="majorHAnsi" w:hAnsiTheme="majorHAnsi"/>
          <w:sz w:val="22"/>
          <w:szCs w:val="22"/>
        </w:rPr>
        <w:t>Firstly, many contracts are co-operative in nature</w:t>
      </w:r>
      <w:r w:rsidR="003247F6" w:rsidRPr="00932C3E">
        <w:rPr>
          <w:rFonts w:asciiTheme="majorHAnsi" w:hAnsiTheme="majorHAnsi"/>
          <w:sz w:val="22"/>
          <w:szCs w:val="22"/>
        </w:rPr>
        <w:t xml:space="preserve"> </w:t>
      </w:r>
      <w:commentRangeEnd w:id="11"/>
      <w:r w:rsidR="00C61375">
        <w:rPr>
          <w:rStyle w:val="CommentReference"/>
        </w:rPr>
        <w:commentReference w:id="11"/>
      </w:r>
      <w:r w:rsidRPr="00932C3E">
        <w:rPr>
          <w:rFonts w:asciiTheme="majorHAnsi" w:hAnsiTheme="majorHAnsi"/>
          <w:sz w:val="22"/>
          <w:szCs w:val="22"/>
        </w:rPr>
        <w:t xml:space="preserve">and rely on good faith. </w:t>
      </w:r>
      <w:r w:rsidR="00486899" w:rsidRPr="00932C3E">
        <w:rPr>
          <w:rFonts w:asciiTheme="majorHAnsi" w:hAnsiTheme="majorHAnsi"/>
          <w:sz w:val="22"/>
          <w:szCs w:val="22"/>
        </w:rPr>
        <w:t xml:space="preserve">Imposing such a duty gives effect to the reasonable expectation of the business people involved and thus facilitates commerce. In </w:t>
      </w:r>
      <w:r w:rsidR="00486899" w:rsidRPr="00932C3E">
        <w:rPr>
          <w:rFonts w:asciiTheme="majorHAnsi" w:hAnsiTheme="majorHAnsi"/>
          <w:i/>
          <w:sz w:val="22"/>
          <w:szCs w:val="22"/>
        </w:rPr>
        <w:t xml:space="preserve">Yam Seng </w:t>
      </w:r>
      <w:r w:rsidR="00486899" w:rsidRPr="00932C3E">
        <w:rPr>
          <w:rFonts w:asciiTheme="majorHAnsi" w:hAnsiTheme="majorHAnsi"/>
          <w:sz w:val="22"/>
          <w:szCs w:val="22"/>
        </w:rPr>
        <w:t xml:space="preserve">for </w:t>
      </w:r>
      <w:r w:rsidR="00C71F3F" w:rsidRPr="00932C3E">
        <w:rPr>
          <w:rFonts w:asciiTheme="majorHAnsi" w:hAnsiTheme="majorHAnsi"/>
          <w:sz w:val="22"/>
          <w:szCs w:val="22"/>
        </w:rPr>
        <w:t>example</w:t>
      </w:r>
      <w:r w:rsidRPr="00932C3E">
        <w:rPr>
          <w:rFonts w:asciiTheme="majorHAnsi" w:hAnsiTheme="majorHAnsi"/>
          <w:sz w:val="22"/>
          <w:szCs w:val="22"/>
        </w:rPr>
        <w:t xml:space="preserve"> the parties contracted for the supply of merchandise products, the amount of which was impossible to fix conclusively in advance. A duty to act in good faith was implied in fact by Legga</w:t>
      </w:r>
      <w:r w:rsidR="00486899" w:rsidRPr="00932C3E">
        <w:rPr>
          <w:rFonts w:asciiTheme="majorHAnsi" w:hAnsiTheme="majorHAnsi"/>
          <w:sz w:val="22"/>
          <w:szCs w:val="22"/>
        </w:rPr>
        <w:t>t</w:t>
      </w:r>
      <w:r w:rsidR="00C71F3F" w:rsidRPr="00932C3E">
        <w:rPr>
          <w:rFonts w:asciiTheme="majorHAnsi" w:hAnsiTheme="majorHAnsi"/>
          <w:sz w:val="22"/>
          <w:szCs w:val="22"/>
        </w:rPr>
        <w:t>t J.</w:t>
      </w:r>
      <w:r w:rsidR="00A1415F" w:rsidRPr="00932C3E">
        <w:rPr>
          <w:rFonts w:asciiTheme="majorHAnsi" w:hAnsiTheme="majorHAnsi"/>
          <w:sz w:val="22"/>
          <w:szCs w:val="22"/>
        </w:rPr>
        <w:t xml:space="preserve"> </w:t>
      </w:r>
      <w:r w:rsidR="00C71F3F" w:rsidRPr="00932C3E">
        <w:rPr>
          <w:rFonts w:asciiTheme="majorHAnsi" w:hAnsiTheme="majorHAnsi"/>
          <w:sz w:val="22"/>
          <w:szCs w:val="22"/>
        </w:rPr>
        <w:t>The</w:t>
      </w:r>
      <w:r w:rsidR="00486899" w:rsidRPr="00932C3E">
        <w:rPr>
          <w:rFonts w:asciiTheme="majorHAnsi" w:hAnsiTheme="majorHAnsi"/>
          <w:sz w:val="22"/>
          <w:szCs w:val="22"/>
        </w:rPr>
        <w:t xml:space="preserve"> threshold </w:t>
      </w:r>
      <w:r w:rsidR="00C71F3F" w:rsidRPr="00932C3E">
        <w:rPr>
          <w:rFonts w:asciiTheme="majorHAnsi" w:hAnsiTheme="majorHAnsi"/>
          <w:sz w:val="22"/>
          <w:szCs w:val="22"/>
        </w:rPr>
        <w:t>for such an implication on the facts however is</w:t>
      </w:r>
      <w:r w:rsidR="00486899" w:rsidRPr="00932C3E">
        <w:rPr>
          <w:rFonts w:asciiTheme="majorHAnsi" w:hAnsiTheme="majorHAnsi"/>
          <w:sz w:val="22"/>
          <w:szCs w:val="22"/>
        </w:rPr>
        <w:t xml:space="preserve"> high. Lord Hoffmann’s reasonableness test in </w:t>
      </w:r>
      <w:r w:rsidR="00486899" w:rsidRPr="00932C3E">
        <w:rPr>
          <w:rFonts w:asciiTheme="majorHAnsi" w:hAnsiTheme="majorHAnsi"/>
          <w:i/>
          <w:sz w:val="22"/>
          <w:szCs w:val="22"/>
        </w:rPr>
        <w:t xml:space="preserve">Belize Telecom </w:t>
      </w:r>
      <w:r w:rsidR="00486899" w:rsidRPr="00932C3E">
        <w:rPr>
          <w:rFonts w:asciiTheme="majorHAnsi" w:hAnsiTheme="majorHAnsi"/>
          <w:sz w:val="22"/>
          <w:szCs w:val="22"/>
        </w:rPr>
        <w:t xml:space="preserve">has finally been rejected by Lord Neuberger in </w:t>
      </w:r>
      <w:r w:rsidR="00486899" w:rsidRPr="00932C3E">
        <w:rPr>
          <w:rFonts w:asciiTheme="majorHAnsi" w:hAnsiTheme="majorHAnsi"/>
          <w:i/>
          <w:sz w:val="22"/>
          <w:szCs w:val="22"/>
        </w:rPr>
        <w:t xml:space="preserve">Marks and </w:t>
      </w:r>
      <w:proofErr w:type="spellStart"/>
      <w:r w:rsidR="00486899" w:rsidRPr="00932C3E">
        <w:rPr>
          <w:rFonts w:asciiTheme="majorHAnsi" w:hAnsiTheme="majorHAnsi"/>
          <w:i/>
          <w:sz w:val="22"/>
          <w:szCs w:val="22"/>
        </w:rPr>
        <w:t>Spencers</w:t>
      </w:r>
      <w:proofErr w:type="spellEnd"/>
      <w:r w:rsidR="00486899" w:rsidRPr="00932C3E">
        <w:rPr>
          <w:rFonts w:asciiTheme="majorHAnsi" w:hAnsiTheme="majorHAnsi"/>
          <w:sz w:val="22"/>
          <w:szCs w:val="22"/>
        </w:rPr>
        <w:t xml:space="preserve">, holding that it must be necessary to give effect to the parties’ intentions, not merely reasonable, to imply a duty of good faith on the facts. </w:t>
      </w:r>
      <w:r w:rsidR="00D8570C" w:rsidRPr="00932C3E">
        <w:rPr>
          <w:rFonts w:asciiTheme="majorHAnsi" w:hAnsiTheme="majorHAnsi"/>
          <w:sz w:val="22"/>
          <w:szCs w:val="22"/>
        </w:rPr>
        <w:t>I</w:t>
      </w:r>
      <w:r w:rsidR="00486899" w:rsidRPr="00932C3E">
        <w:rPr>
          <w:rFonts w:asciiTheme="majorHAnsi" w:hAnsiTheme="majorHAnsi"/>
          <w:sz w:val="22"/>
          <w:szCs w:val="22"/>
        </w:rPr>
        <w:t xml:space="preserve">t must be “obvious” that the parties had intended such an </w:t>
      </w:r>
      <w:commentRangeStart w:id="12"/>
      <w:r w:rsidR="00486899" w:rsidRPr="00932C3E">
        <w:rPr>
          <w:rFonts w:asciiTheme="majorHAnsi" w:hAnsiTheme="majorHAnsi"/>
          <w:sz w:val="22"/>
          <w:szCs w:val="22"/>
        </w:rPr>
        <w:t>implication</w:t>
      </w:r>
      <w:commentRangeEnd w:id="12"/>
      <w:r w:rsidR="00E665F2">
        <w:rPr>
          <w:rStyle w:val="CommentReference"/>
        </w:rPr>
        <w:commentReference w:id="12"/>
      </w:r>
      <w:r w:rsidR="00486899" w:rsidRPr="00932C3E">
        <w:rPr>
          <w:rFonts w:asciiTheme="majorHAnsi" w:hAnsiTheme="majorHAnsi"/>
          <w:sz w:val="22"/>
          <w:szCs w:val="22"/>
        </w:rPr>
        <w:t xml:space="preserve">. </w:t>
      </w:r>
    </w:p>
    <w:p w14:paraId="21B559E1" w14:textId="77777777" w:rsidR="00C71F3F" w:rsidRPr="00932C3E" w:rsidRDefault="00C71F3F" w:rsidP="00DF6828">
      <w:pPr>
        <w:jc w:val="both"/>
        <w:rPr>
          <w:rFonts w:asciiTheme="majorHAnsi" w:hAnsiTheme="majorHAnsi"/>
          <w:sz w:val="22"/>
          <w:szCs w:val="22"/>
        </w:rPr>
      </w:pPr>
    </w:p>
    <w:p w14:paraId="77317141" w14:textId="78EEC02C" w:rsidR="00A1415F" w:rsidRPr="00932C3E" w:rsidRDefault="00A1415F" w:rsidP="00DF6828">
      <w:pPr>
        <w:jc w:val="both"/>
        <w:rPr>
          <w:rFonts w:asciiTheme="majorHAnsi" w:hAnsiTheme="majorHAnsi"/>
          <w:sz w:val="22"/>
          <w:szCs w:val="22"/>
        </w:rPr>
      </w:pPr>
      <w:r w:rsidRPr="00932C3E">
        <w:rPr>
          <w:rFonts w:asciiTheme="majorHAnsi" w:hAnsiTheme="majorHAnsi"/>
          <w:sz w:val="22"/>
          <w:szCs w:val="22"/>
        </w:rPr>
        <w:t xml:space="preserve">Secondly, a duty of good faith has consistently been implied in law in contracts that </w:t>
      </w:r>
      <w:r w:rsidR="00486899" w:rsidRPr="00932C3E">
        <w:rPr>
          <w:rFonts w:asciiTheme="majorHAnsi" w:hAnsiTheme="majorHAnsi"/>
          <w:sz w:val="22"/>
          <w:szCs w:val="22"/>
        </w:rPr>
        <w:t>give</w:t>
      </w:r>
      <w:r w:rsidRPr="00932C3E">
        <w:rPr>
          <w:rFonts w:asciiTheme="majorHAnsi" w:hAnsiTheme="majorHAnsi"/>
          <w:sz w:val="22"/>
          <w:szCs w:val="22"/>
        </w:rPr>
        <w:t xml:space="preserve"> one contracting party a di</w:t>
      </w:r>
      <w:r w:rsidR="00C71F3F" w:rsidRPr="00932C3E">
        <w:rPr>
          <w:rFonts w:asciiTheme="majorHAnsi" w:hAnsiTheme="majorHAnsi"/>
          <w:sz w:val="22"/>
          <w:szCs w:val="22"/>
        </w:rPr>
        <w:t>scretionary unilateral power (</w:t>
      </w:r>
      <w:r w:rsidRPr="00932C3E">
        <w:rPr>
          <w:rFonts w:asciiTheme="majorHAnsi" w:hAnsiTheme="majorHAnsi"/>
          <w:i/>
          <w:sz w:val="22"/>
          <w:szCs w:val="22"/>
        </w:rPr>
        <w:t>Mid Essex Hospital Services</w:t>
      </w:r>
      <w:r w:rsidR="00C71F3F" w:rsidRPr="00932C3E">
        <w:rPr>
          <w:rFonts w:asciiTheme="majorHAnsi" w:hAnsiTheme="majorHAnsi"/>
          <w:sz w:val="22"/>
          <w:szCs w:val="22"/>
        </w:rPr>
        <w:t>)</w:t>
      </w:r>
      <w:r w:rsidR="00C71F3F" w:rsidRPr="00932C3E">
        <w:rPr>
          <w:rFonts w:asciiTheme="majorHAnsi" w:hAnsiTheme="majorHAnsi"/>
          <w:i/>
          <w:sz w:val="22"/>
          <w:szCs w:val="22"/>
        </w:rPr>
        <w:t xml:space="preserve">. </w:t>
      </w:r>
      <w:r w:rsidRPr="00932C3E">
        <w:rPr>
          <w:rFonts w:asciiTheme="majorHAnsi" w:hAnsiTheme="majorHAnsi"/>
          <w:sz w:val="22"/>
          <w:szCs w:val="22"/>
        </w:rPr>
        <w:t xml:space="preserve">This approach was adopted by the House of Lords in </w:t>
      </w:r>
      <w:r w:rsidRPr="00932C3E">
        <w:rPr>
          <w:rFonts w:asciiTheme="majorHAnsi" w:hAnsiTheme="majorHAnsi"/>
          <w:i/>
          <w:sz w:val="22"/>
          <w:szCs w:val="22"/>
        </w:rPr>
        <w:t xml:space="preserve">Braganza v BP </w:t>
      </w:r>
      <w:r w:rsidRPr="00932C3E">
        <w:rPr>
          <w:rFonts w:asciiTheme="majorHAnsi" w:hAnsiTheme="majorHAnsi"/>
          <w:sz w:val="22"/>
          <w:szCs w:val="22"/>
        </w:rPr>
        <w:t xml:space="preserve">where the House was unanimous in their conclusion that BP’s discretion regarding the inquiry into the death of an employee had to be exercised reasonably and thus in good faith. </w:t>
      </w:r>
    </w:p>
    <w:p w14:paraId="07E60FE7" w14:textId="77777777" w:rsidR="003C5F51" w:rsidRPr="00932C3E" w:rsidRDefault="003C5F51" w:rsidP="00DF6828">
      <w:pPr>
        <w:jc w:val="both"/>
        <w:rPr>
          <w:rFonts w:asciiTheme="majorHAnsi" w:hAnsiTheme="majorHAnsi"/>
          <w:sz w:val="22"/>
          <w:szCs w:val="22"/>
        </w:rPr>
      </w:pPr>
    </w:p>
    <w:p w14:paraId="7EF6FED0" w14:textId="22894BF5" w:rsidR="00486899" w:rsidRPr="00932C3E" w:rsidRDefault="00486899" w:rsidP="00DF6828">
      <w:pPr>
        <w:jc w:val="both"/>
        <w:rPr>
          <w:rFonts w:asciiTheme="majorHAnsi" w:hAnsiTheme="majorHAnsi"/>
          <w:sz w:val="22"/>
          <w:szCs w:val="22"/>
        </w:rPr>
      </w:pPr>
      <w:r w:rsidRPr="00932C3E">
        <w:rPr>
          <w:rFonts w:asciiTheme="majorHAnsi" w:hAnsiTheme="majorHAnsi"/>
          <w:sz w:val="22"/>
          <w:szCs w:val="22"/>
        </w:rPr>
        <w:t xml:space="preserve">In </w:t>
      </w:r>
      <w:r w:rsidR="003C5F51" w:rsidRPr="00932C3E">
        <w:rPr>
          <w:rFonts w:asciiTheme="majorHAnsi" w:hAnsiTheme="majorHAnsi"/>
          <w:sz w:val="22"/>
          <w:szCs w:val="22"/>
        </w:rPr>
        <w:t xml:space="preserve">conclusion, as Bingham LJ stated in </w:t>
      </w:r>
      <w:proofErr w:type="spellStart"/>
      <w:r w:rsidR="003C5F51" w:rsidRPr="00932C3E">
        <w:rPr>
          <w:rFonts w:asciiTheme="majorHAnsi" w:hAnsiTheme="majorHAnsi"/>
          <w:i/>
          <w:sz w:val="22"/>
          <w:szCs w:val="22"/>
        </w:rPr>
        <w:t>Interfoto</w:t>
      </w:r>
      <w:proofErr w:type="spellEnd"/>
      <w:r w:rsidR="003C5F51" w:rsidRPr="00932C3E">
        <w:rPr>
          <w:rFonts w:asciiTheme="majorHAnsi" w:hAnsiTheme="majorHAnsi"/>
          <w:i/>
          <w:sz w:val="22"/>
          <w:szCs w:val="22"/>
        </w:rPr>
        <w:t xml:space="preserve"> </w:t>
      </w:r>
      <w:r w:rsidR="003C5F51" w:rsidRPr="00932C3E">
        <w:rPr>
          <w:rFonts w:asciiTheme="majorHAnsi" w:hAnsiTheme="majorHAnsi"/>
          <w:sz w:val="22"/>
          <w:szCs w:val="22"/>
        </w:rPr>
        <w:t xml:space="preserve">there are currently only traces of good faith in contract law, falling short of a general principle. In </w:t>
      </w:r>
      <w:r w:rsidRPr="00932C3E">
        <w:rPr>
          <w:rFonts w:asciiTheme="majorHAnsi" w:hAnsiTheme="majorHAnsi"/>
          <w:sz w:val="22"/>
          <w:szCs w:val="22"/>
        </w:rPr>
        <w:t xml:space="preserve">light of </w:t>
      </w:r>
      <w:r w:rsidR="003C5F51" w:rsidRPr="00932C3E">
        <w:rPr>
          <w:rFonts w:asciiTheme="majorHAnsi" w:hAnsiTheme="majorHAnsi"/>
          <w:sz w:val="22"/>
          <w:szCs w:val="22"/>
        </w:rPr>
        <w:t xml:space="preserve">the unconvincing reasons against such a general principle and </w:t>
      </w:r>
      <w:r w:rsidRPr="00932C3E">
        <w:rPr>
          <w:rFonts w:asciiTheme="majorHAnsi" w:hAnsiTheme="majorHAnsi"/>
          <w:sz w:val="22"/>
          <w:szCs w:val="22"/>
        </w:rPr>
        <w:t xml:space="preserve">the practice of the courts to occasionally imply good faith, it would promote coherency in English contract law to elevate this practice to a general principle. </w:t>
      </w:r>
      <w:r w:rsidR="003C5F51" w:rsidRPr="00932C3E">
        <w:rPr>
          <w:rFonts w:asciiTheme="majorHAnsi" w:hAnsiTheme="majorHAnsi"/>
          <w:sz w:val="22"/>
          <w:szCs w:val="22"/>
        </w:rPr>
        <w:t xml:space="preserve">There is no reason why contracts that do not confer a discretionary power onto one of the parties should not be subject to a good faith requirement, especially where the contract is fundamentally based on the continued cooperation of the parties which is frequently the case in commercial </w:t>
      </w:r>
      <w:commentRangeStart w:id="13"/>
      <w:r w:rsidR="003C5F51" w:rsidRPr="00932C3E">
        <w:rPr>
          <w:rFonts w:asciiTheme="majorHAnsi" w:hAnsiTheme="majorHAnsi"/>
          <w:sz w:val="22"/>
          <w:szCs w:val="22"/>
        </w:rPr>
        <w:t>contexts.</w:t>
      </w:r>
      <w:r w:rsidR="003247F6" w:rsidRPr="00932C3E">
        <w:rPr>
          <w:rFonts w:asciiTheme="majorHAnsi" w:hAnsiTheme="majorHAnsi"/>
          <w:sz w:val="22"/>
          <w:szCs w:val="22"/>
        </w:rPr>
        <w:t xml:space="preserve"> </w:t>
      </w:r>
      <w:commentRangeEnd w:id="13"/>
      <w:r w:rsidR="00E665F2">
        <w:rPr>
          <w:rStyle w:val="CommentReference"/>
        </w:rPr>
        <w:commentReference w:id="13"/>
      </w:r>
      <w:r w:rsidR="003C5F51" w:rsidRPr="00932C3E">
        <w:rPr>
          <w:rFonts w:asciiTheme="majorHAnsi" w:hAnsiTheme="majorHAnsi"/>
          <w:sz w:val="22"/>
          <w:szCs w:val="22"/>
        </w:rPr>
        <w:t xml:space="preserve">Moreover, recognising a general duty of good faith would string contract principles governing commercial and consumer relations respectively back together, ensuring a principled coherent and de-compartmentalised body of contract law. </w:t>
      </w:r>
    </w:p>
    <w:p w14:paraId="7565AC7E" w14:textId="77777777" w:rsidR="003247F6" w:rsidRPr="00E760D5" w:rsidRDefault="003247F6" w:rsidP="00DF6828">
      <w:pPr>
        <w:jc w:val="both"/>
        <w:rPr>
          <w:rFonts w:asciiTheme="majorHAnsi" w:hAnsiTheme="majorHAnsi"/>
          <w:b/>
          <w:sz w:val="22"/>
          <w:szCs w:val="22"/>
        </w:rPr>
      </w:pPr>
    </w:p>
    <w:p w14:paraId="3D08B8CE" w14:textId="09F527AF" w:rsidR="00932C3E" w:rsidRPr="00E760D5" w:rsidRDefault="00932C3E" w:rsidP="00932C3E">
      <w:pPr>
        <w:jc w:val="both"/>
        <w:rPr>
          <w:rFonts w:asciiTheme="majorHAnsi" w:hAnsiTheme="majorHAnsi"/>
          <w:b/>
          <w:sz w:val="22"/>
          <w:szCs w:val="22"/>
        </w:rPr>
      </w:pPr>
      <w:r w:rsidRPr="00E760D5">
        <w:rPr>
          <w:rFonts w:asciiTheme="majorHAnsi" w:hAnsiTheme="majorHAnsi"/>
          <w:b/>
          <w:sz w:val="22"/>
          <w:szCs w:val="22"/>
        </w:rPr>
        <w:t xml:space="preserve">Overall essay feedback:  This is very good – a clear argument and good evidence of wider-reading and thinking. But at times I thought you drifted away a little from the primary material (which is both understandable and easy to do with this sort of question). I think your argument would be stronger if you could tell me </w:t>
      </w:r>
      <w:r w:rsidRPr="00E760D5">
        <w:rPr>
          <w:rFonts w:asciiTheme="majorHAnsi" w:hAnsiTheme="majorHAnsi"/>
          <w:b/>
          <w:i/>
          <w:sz w:val="22"/>
          <w:szCs w:val="22"/>
        </w:rPr>
        <w:t xml:space="preserve">why </w:t>
      </w:r>
      <w:r w:rsidRPr="00E760D5">
        <w:rPr>
          <w:rFonts w:asciiTheme="majorHAnsi" w:hAnsiTheme="majorHAnsi"/>
          <w:b/>
          <w:sz w:val="22"/>
          <w:szCs w:val="22"/>
        </w:rPr>
        <w:t>English law should recognise a general duty of good faith – in what respects is the law currently unsatisfactory? It may be that if you were starting from a blank sheet of paper you wouldn’t choose to adopt a piecemeal approach, but given that is what we currently have, in what respects is it unsatisfactory and what cases should have been decided differently?</w:t>
      </w:r>
    </w:p>
    <w:p w14:paraId="12A68105" w14:textId="77777777" w:rsidR="00932C3E" w:rsidRPr="00E760D5" w:rsidRDefault="00932C3E" w:rsidP="00932C3E">
      <w:pPr>
        <w:jc w:val="both"/>
        <w:rPr>
          <w:rFonts w:asciiTheme="majorHAnsi" w:hAnsiTheme="majorHAnsi"/>
          <w:b/>
          <w:sz w:val="22"/>
          <w:szCs w:val="22"/>
        </w:rPr>
      </w:pPr>
    </w:p>
    <w:p w14:paraId="7DBA7873" w14:textId="18B0498D" w:rsidR="003247F6" w:rsidRPr="00E760D5" w:rsidRDefault="00932C3E" w:rsidP="00932C3E">
      <w:pPr>
        <w:jc w:val="both"/>
        <w:rPr>
          <w:rFonts w:asciiTheme="majorHAnsi" w:hAnsiTheme="majorHAnsi"/>
          <w:b/>
          <w:sz w:val="22"/>
          <w:szCs w:val="22"/>
        </w:rPr>
      </w:pPr>
      <w:r w:rsidRPr="00E760D5">
        <w:rPr>
          <w:rFonts w:asciiTheme="majorHAnsi" w:hAnsiTheme="majorHAnsi"/>
          <w:b/>
          <w:sz w:val="22"/>
          <w:szCs w:val="22"/>
        </w:rPr>
        <w:t>High 2.i</w:t>
      </w:r>
    </w:p>
    <w:sectPr w:rsidR="003247F6" w:rsidRPr="00E760D5" w:rsidSect="00750084">
      <w:headerReference w:type="default" r:id="rId10"/>
      <w:footerReference w:type="default" r:id="rId11"/>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6F7D3009" w14:textId="4076444A" w:rsidR="00C75D90" w:rsidRPr="00C75D90" w:rsidRDefault="00C75D90">
      <w:pPr>
        <w:pStyle w:val="CommentText"/>
        <w:rPr>
          <w:rFonts w:asciiTheme="majorHAnsi" w:hAnsiTheme="majorHAnsi"/>
        </w:rPr>
      </w:pPr>
      <w:r w:rsidRPr="00CC32FD">
        <w:rPr>
          <w:rStyle w:val="CommentReference"/>
          <w:rFonts w:asciiTheme="majorHAnsi" w:hAnsiTheme="majorHAnsi"/>
          <w:sz w:val="20"/>
          <w:szCs w:val="20"/>
        </w:rPr>
        <w:annotationRef/>
      </w:r>
      <w:r w:rsidRPr="00CC32FD">
        <w:rPr>
          <w:rFonts w:asciiTheme="majorHAnsi" w:hAnsiTheme="majorHAnsi"/>
        </w:rPr>
        <w:t>And this is not a general duty anyway – what is the scope of good faith in this context?</w:t>
      </w:r>
    </w:p>
  </w:comment>
  <w:comment w:id="1" w:author="Author" w:initials="A">
    <w:p w14:paraId="473FE631" w14:textId="57A80EB5" w:rsidR="00C75D90" w:rsidRDefault="00C75D90">
      <w:pPr>
        <w:pStyle w:val="CommentText"/>
      </w:pPr>
      <w:r>
        <w:rPr>
          <w:rStyle w:val="CommentReference"/>
        </w:rPr>
        <w:annotationRef/>
      </w:r>
      <w:r w:rsidRPr="00CC32FD">
        <w:rPr>
          <w:rFonts w:asciiTheme="majorHAnsi" w:hAnsiTheme="majorHAnsi"/>
          <w:sz w:val="22"/>
          <w:szCs w:val="22"/>
        </w:rPr>
        <w:t>Why limit to commercial law? And what does this mean anyway? Perhaps good faith is less necessary when two major corporate entities advised by expensive lawyers enter into a contract, but what about two small businesses?</w:t>
      </w:r>
    </w:p>
  </w:comment>
  <w:comment w:id="2" w:author="Author" w:initials="A">
    <w:p w14:paraId="040ECB29" w14:textId="764CD2A5" w:rsidR="00C75D90" w:rsidRDefault="00C75D90">
      <w:pPr>
        <w:pStyle w:val="CommentText"/>
      </w:pPr>
      <w:r>
        <w:rPr>
          <w:rStyle w:val="CommentReference"/>
        </w:rPr>
        <w:annotationRef/>
      </w:r>
      <w:r>
        <w:rPr>
          <w:rFonts w:asciiTheme="majorHAnsi" w:hAnsiTheme="majorHAnsi"/>
          <w:sz w:val="22"/>
          <w:szCs w:val="22"/>
        </w:rPr>
        <w:t>W</w:t>
      </w:r>
      <w:r w:rsidRPr="00362DFF">
        <w:rPr>
          <w:rFonts w:asciiTheme="majorHAnsi" w:hAnsiTheme="majorHAnsi"/>
          <w:sz w:val="22"/>
          <w:szCs w:val="22"/>
        </w:rPr>
        <w:t>hich pe</w:t>
      </w:r>
      <w:r>
        <w:rPr>
          <w:rFonts w:asciiTheme="majorHAnsi" w:hAnsiTheme="majorHAnsi"/>
          <w:sz w:val="22"/>
          <w:szCs w:val="22"/>
        </w:rPr>
        <w:t>rhaps underpin implication too?</w:t>
      </w:r>
    </w:p>
  </w:comment>
  <w:comment w:id="3" w:author="Author" w:initials="A">
    <w:p w14:paraId="3B31DB31" w14:textId="2DEBB9BC" w:rsidR="00C75D90" w:rsidRPr="00C75D90" w:rsidRDefault="00C75D90">
      <w:pPr>
        <w:pStyle w:val="CommentText"/>
      </w:pPr>
      <w:r>
        <w:rPr>
          <w:rStyle w:val="CommentReference"/>
        </w:rPr>
        <w:annotationRef/>
      </w:r>
      <w:r w:rsidRPr="00CC32FD">
        <w:rPr>
          <w:rFonts w:asciiTheme="majorHAnsi" w:hAnsiTheme="majorHAnsi"/>
        </w:rPr>
        <w:t>Use judges’ titles!</w:t>
      </w:r>
    </w:p>
  </w:comment>
  <w:comment w:id="4" w:author="Author" w:initials="A">
    <w:p w14:paraId="594FFFC8" w14:textId="67CEAAD1" w:rsidR="00C75D90" w:rsidRDefault="00C75D90">
      <w:pPr>
        <w:pStyle w:val="CommentText"/>
      </w:pPr>
      <w:r>
        <w:rPr>
          <w:rStyle w:val="CommentReference"/>
        </w:rPr>
        <w:annotationRef/>
      </w:r>
      <w:r>
        <w:t xml:space="preserve">See also </w:t>
      </w:r>
      <w:r w:rsidRPr="00C75D90">
        <w:rPr>
          <w:rFonts w:asciiTheme="majorHAnsi" w:hAnsiTheme="majorHAnsi"/>
          <w:i/>
          <w:sz w:val="22"/>
          <w:szCs w:val="22"/>
        </w:rPr>
        <w:t xml:space="preserve">Collins </w:t>
      </w:r>
      <w:r w:rsidRPr="00362DFF">
        <w:rPr>
          <w:rFonts w:asciiTheme="majorHAnsi" w:hAnsiTheme="majorHAnsi"/>
          <w:sz w:val="22"/>
          <w:szCs w:val="22"/>
        </w:rPr>
        <w:t>(2014)</w:t>
      </w:r>
    </w:p>
  </w:comment>
  <w:comment w:id="5" w:author="Author" w:initials="A">
    <w:p w14:paraId="087CD2B8" w14:textId="5B370BB2" w:rsidR="00C75D90" w:rsidRPr="00CC32FD" w:rsidRDefault="00C75D90">
      <w:pPr>
        <w:pStyle w:val="CommentText"/>
      </w:pPr>
      <w:r w:rsidRPr="00CC32FD">
        <w:rPr>
          <w:rStyle w:val="CommentReference"/>
        </w:rPr>
        <w:annotationRef/>
      </w:r>
      <w:r w:rsidRPr="00CC32FD">
        <w:rPr>
          <w:rFonts w:asciiTheme="majorHAnsi" w:hAnsiTheme="majorHAnsi"/>
          <w:sz w:val="22"/>
          <w:szCs w:val="22"/>
        </w:rPr>
        <w:t>Compare an approach which demands that the parties co-operate with each other.</w:t>
      </w:r>
    </w:p>
  </w:comment>
  <w:comment w:id="6" w:author="Author" w:initials="A">
    <w:p w14:paraId="503D0EED" w14:textId="762FE9F1" w:rsidR="00C75D90" w:rsidRPr="00CC32FD" w:rsidRDefault="00C75D90">
      <w:pPr>
        <w:pStyle w:val="CommentText"/>
      </w:pPr>
      <w:r w:rsidRPr="00CC32FD">
        <w:rPr>
          <w:rStyle w:val="CommentReference"/>
        </w:rPr>
        <w:annotationRef/>
      </w:r>
      <w:r w:rsidRPr="00CC32FD">
        <w:rPr>
          <w:rFonts w:asciiTheme="majorHAnsi" w:hAnsiTheme="majorHAnsi"/>
          <w:sz w:val="22"/>
          <w:szCs w:val="22"/>
        </w:rPr>
        <w:t>Is it clear what the content and scope of these duties should be?</w:t>
      </w:r>
    </w:p>
  </w:comment>
  <w:comment w:id="7" w:author="Author" w:initials="A">
    <w:p w14:paraId="484627D1" w14:textId="7257BF88" w:rsidR="00C75D90" w:rsidRPr="00CC32FD" w:rsidRDefault="00C75D90">
      <w:pPr>
        <w:pStyle w:val="CommentText"/>
      </w:pPr>
      <w:r w:rsidRPr="00CC32FD">
        <w:rPr>
          <w:rStyle w:val="CommentReference"/>
        </w:rPr>
        <w:annotationRef/>
      </w:r>
      <w:r w:rsidRPr="00CC32FD">
        <w:rPr>
          <w:rFonts w:asciiTheme="majorHAnsi" w:hAnsiTheme="majorHAnsi"/>
          <w:sz w:val="22"/>
          <w:szCs w:val="22"/>
        </w:rPr>
        <w:t>But these doctrines are much better defined.</w:t>
      </w:r>
    </w:p>
  </w:comment>
  <w:comment w:id="8" w:author="Author" w:initials="A">
    <w:p w14:paraId="18D1207E" w14:textId="4C748CF8" w:rsidR="00C61375" w:rsidRPr="00CC32FD" w:rsidRDefault="00C61375">
      <w:pPr>
        <w:pStyle w:val="CommentText"/>
      </w:pPr>
      <w:r w:rsidRPr="00CC32FD">
        <w:rPr>
          <w:rStyle w:val="CommentReference"/>
        </w:rPr>
        <w:annotationRef/>
      </w:r>
      <w:r w:rsidRPr="00CC32FD">
        <w:rPr>
          <w:rFonts w:asciiTheme="majorHAnsi" w:hAnsiTheme="majorHAnsi"/>
          <w:sz w:val="22"/>
          <w:szCs w:val="22"/>
        </w:rPr>
        <w:t xml:space="preserve">See </w:t>
      </w:r>
      <w:proofErr w:type="spellStart"/>
      <w:r w:rsidRPr="00CC32FD">
        <w:rPr>
          <w:rFonts w:asciiTheme="majorHAnsi" w:hAnsiTheme="majorHAnsi"/>
          <w:sz w:val="22"/>
          <w:szCs w:val="22"/>
        </w:rPr>
        <w:t>eg</w:t>
      </w:r>
      <w:proofErr w:type="spellEnd"/>
      <w:r w:rsidRPr="00CC32FD">
        <w:rPr>
          <w:rFonts w:asciiTheme="majorHAnsi" w:hAnsiTheme="majorHAnsi"/>
          <w:sz w:val="22"/>
          <w:szCs w:val="22"/>
        </w:rPr>
        <w:t xml:space="preserve"> </w:t>
      </w:r>
      <w:proofErr w:type="spellStart"/>
      <w:r w:rsidRPr="00CC32FD">
        <w:rPr>
          <w:rFonts w:asciiTheme="majorHAnsi" w:hAnsiTheme="majorHAnsi"/>
          <w:i/>
          <w:sz w:val="22"/>
          <w:szCs w:val="22"/>
        </w:rPr>
        <w:t>Interfoto</w:t>
      </w:r>
      <w:proofErr w:type="spellEnd"/>
      <w:r w:rsidRPr="00CC32FD">
        <w:rPr>
          <w:rFonts w:asciiTheme="majorHAnsi" w:hAnsiTheme="majorHAnsi"/>
          <w:i/>
          <w:sz w:val="22"/>
          <w:szCs w:val="22"/>
        </w:rPr>
        <w:t>.</w:t>
      </w:r>
    </w:p>
  </w:comment>
  <w:comment w:id="9" w:author="Author" w:initials="A">
    <w:p w14:paraId="71085852" w14:textId="0EEE6FAA" w:rsidR="00C61375" w:rsidRPr="00CC32FD" w:rsidRDefault="00C61375">
      <w:pPr>
        <w:pStyle w:val="CommentText"/>
      </w:pPr>
      <w:r w:rsidRPr="00CC32FD">
        <w:rPr>
          <w:rStyle w:val="CommentReference"/>
        </w:rPr>
        <w:annotationRef/>
      </w:r>
      <w:r w:rsidRPr="00CC32FD">
        <w:rPr>
          <w:rFonts w:asciiTheme="majorHAnsi" w:hAnsiTheme="majorHAnsi"/>
          <w:sz w:val="22"/>
          <w:szCs w:val="22"/>
        </w:rPr>
        <w:t>Would this be useful? What gaps are there currently in the law that need rectifying?</w:t>
      </w:r>
    </w:p>
  </w:comment>
  <w:comment w:id="10" w:author="Author" w:initials="A">
    <w:p w14:paraId="35CFE3B3" w14:textId="3C4E5367" w:rsidR="00C61375" w:rsidRPr="00CC32FD" w:rsidRDefault="00C61375">
      <w:pPr>
        <w:pStyle w:val="CommentText"/>
      </w:pPr>
      <w:r w:rsidRPr="00CC32FD">
        <w:rPr>
          <w:rStyle w:val="CommentReference"/>
        </w:rPr>
        <w:annotationRef/>
      </w:r>
      <w:r w:rsidRPr="00CC32FD">
        <w:rPr>
          <w:rFonts w:asciiTheme="majorHAnsi" w:hAnsiTheme="majorHAnsi"/>
          <w:sz w:val="22"/>
          <w:szCs w:val="22"/>
        </w:rPr>
        <w:t>This might be considered by some to be optimistic. The content of ‘good faith’ can be difficult to know.</w:t>
      </w:r>
    </w:p>
  </w:comment>
  <w:comment w:id="11" w:author="Author" w:initials="A">
    <w:p w14:paraId="7D96D300" w14:textId="6707DE88" w:rsidR="00C61375" w:rsidRPr="00CC32FD" w:rsidRDefault="00C61375">
      <w:pPr>
        <w:pStyle w:val="CommentText"/>
      </w:pPr>
      <w:r w:rsidRPr="00CC32FD">
        <w:rPr>
          <w:rStyle w:val="CommentReference"/>
        </w:rPr>
        <w:annotationRef/>
      </w:r>
      <w:r w:rsidRPr="00CC32FD">
        <w:rPr>
          <w:rFonts w:asciiTheme="majorHAnsi" w:hAnsiTheme="majorHAnsi"/>
          <w:sz w:val="22"/>
          <w:szCs w:val="22"/>
        </w:rPr>
        <w:t>After formation only?</w:t>
      </w:r>
    </w:p>
  </w:comment>
  <w:comment w:id="12" w:author="Author" w:initials="A">
    <w:p w14:paraId="4C2D9A6D" w14:textId="169C86B7" w:rsidR="00E665F2" w:rsidRPr="00CC32FD" w:rsidRDefault="00E665F2">
      <w:pPr>
        <w:pStyle w:val="CommentText"/>
      </w:pPr>
      <w:r w:rsidRPr="00CC32FD">
        <w:rPr>
          <w:rStyle w:val="CommentReference"/>
        </w:rPr>
        <w:annotationRef/>
      </w:r>
      <w:r w:rsidRPr="00CC32FD">
        <w:rPr>
          <w:rFonts w:asciiTheme="majorHAnsi" w:hAnsiTheme="majorHAnsi"/>
          <w:sz w:val="22"/>
          <w:szCs w:val="22"/>
        </w:rPr>
        <w:t xml:space="preserve">And that it be clear what good faith means?  </w:t>
      </w:r>
    </w:p>
  </w:comment>
  <w:comment w:id="13" w:author="Author" w:initials="A">
    <w:p w14:paraId="519CCD24" w14:textId="3CCF8A6D" w:rsidR="00E665F2" w:rsidRPr="00CC32FD" w:rsidRDefault="00E665F2">
      <w:pPr>
        <w:pStyle w:val="CommentText"/>
      </w:pPr>
      <w:r w:rsidRPr="00CC32FD">
        <w:rPr>
          <w:rStyle w:val="CommentReference"/>
        </w:rPr>
        <w:annotationRef/>
      </w:r>
      <w:r w:rsidRPr="00CC32FD">
        <w:rPr>
          <w:rFonts w:asciiTheme="majorHAnsi" w:hAnsiTheme="majorHAnsi"/>
          <w:sz w:val="22"/>
          <w:szCs w:val="22"/>
        </w:rPr>
        <w:t>So only in certain types of contract – such as ‘relational’ contracts?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7D3009" w15:done="0"/>
  <w15:commentEx w15:paraId="473FE631" w15:done="0"/>
  <w15:commentEx w15:paraId="040ECB29" w15:done="0"/>
  <w15:commentEx w15:paraId="3B31DB31" w15:done="0"/>
  <w15:commentEx w15:paraId="594FFFC8" w15:done="0"/>
  <w15:commentEx w15:paraId="087CD2B8" w15:done="0"/>
  <w15:commentEx w15:paraId="503D0EED" w15:done="0"/>
  <w15:commentEx w15:paraId="484627D1" w15:done="0"/>
  <w15:commentEx w15:paraId="18D1207E" w15:done="0"/>
  <w15:commentEx w15:paraId="71085852" w15:done="0"/>
  <w15:commentEx w15:paraId="35CFE3B3" w15:done="0"/>
  <w15:commentEx w15:paraId="7D96D300" w15:done="0"/>
  <w15:commentEx w15:paraId="4C2D9A6D" w15:done="0"/>
  <w15:commentEx w15:paraId="519CCD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7D3009" w16cid:durableId="23E51C9D"/>
  <w16cid:commentId w16cid:paraId="473FE631" w16cid:durableId="23E51C9E"/>
  <w16cid:commentId w16cid:paraId="040ECB29" w16cid:durableId="23E51C9F"/>
  <w16cid:commentId w16cid:paraId="3B31DB31" w16cid:durableId="23E51CA0"/>
  <w16cid:commentId w16cid:paraId="594FFFC8" w16cid:durableId="23E51CA1"/>
  <w16cid:commentId w16cid:paraId="087CD2B8" w16cid:durableId="23E51CA2"/>
  <w16cid:commentId w16cid:paraId="503D0EED" w16cid:durableId="23E51CA3"/>
  <w16cid:commentId w16cid:paraId="484627D1" w16cid:durableId="23E51CA4"/>
  <w16cid:commentId w16cid:paraId="18D1207E" w16cid:durableId="23E51CA5"/>
  <w16cid:commentId w16cid:paraId="71085852" w16cid:durableId="23E51CA6"/>
  <w16cid:commentId w16cid:paraId="35CFE3B3" w16cid:durableId="23E51CA7"/>
  <w16cid:commentId w16cid:paraId="7D96D300" w16cid:durableId="23E51CA8"/>
  <w16cid:commentId w16cid:paraId="4C2D9A6D" w16cid:durableId="23E51CA9"/>
  <w16cid:commentId w16cid:paraId="519CCD24" w16cid:durableId="23E51C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4EEAA" w14:textId="77777777" w:rsidR="00800940" w:rsidRDefault="00800940" w:rsidP="005F6499">
      <w:r>
        <w:separator/>
      </w:r>
    </w:p>
  </w:endnote>
  <w:endnote w:type="continuationSeparator" w:id="0">
    <w:p w14:paraId="5D6FFB33" w14:textId="77777777" w:rsidR="00800940" w:rsidRDefault="00800940" w:rsidP="005F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UP Swift">
    <w:altName w:val="Calibri"/>
    <w:charset w:val="00"/>
    <w:family w:val="auto"/>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2AF1A" w14:textId="77777777" w:rsidR="005F6499" w:rsidRDefault="005F6499" w:rsidP="005F6499">
    <w:pPr>
      <w:pStyle w:val="Footer"/>
      <w:pBdr>
        <w:top w:val="single" w:sz="4" w:space="1" w:color="808080"/>
      </w:pBdr>
      <w:jc w:val="right"/>
      <w:rPr>
        <w:rFonts w:ascii="OUP Swift" w:hAnsi="OUP Swift"/>
        <w:color w:val="808080"/>
      </w:rPr>
    </w:pPr>
    <w:r>
      <w:rPr>
        <w:rFonts w:ascii="OUP Swift" w:hAnsi="OUP Swift"/>
        <w:noProof/>
        <w:color w:val="808080"/>
        <w:lang w:eastAsia="en-GB"/>
      </w:rPr>
      <w:drawing>
        <wp:inline distT="0" distB="0" distL="0" distR="0" wp14:anchorId="543C9775" wp14:editId="338B50D4">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4CC93D2E" w14:textId="51A47F28" w:rsidR="005F6499" w:rsidRDefault="005F6499">
    <w:pPr>
      <w:pStyle w:val="Footer"/>
    </w:pPr>
    <w:r>
      <w:rPr>
        <w:rFonts w:ascii="Arial" w:hAnsi="Arial"/>
        <w:color w:val="808080"/>
      </w:rPr>
      <w:t>© Oxford University Press, 20</w:t>
    </w:r>
    <w:r w:rsidR="009334F9">
      <w:rPr>
        <w:rFonts w:ascii="Arial" w:hAnsi="Arial"/>
        <w:color w:val="808080"/>
      </w:rPr>
      <w:t>21</w:t>
    </w:r>
    <w:r>
      <w:rPr>
        <w:rFonts w:ascii="Arial" w:hAnsi="Arial"/>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1EC38" w14:textId="77777777" w:rsidR="00800940" w:rsidRDefault="00800940" w:rsidP="005F6499">
      <w:r>
        <w:separator/>
      </w:r>
    </w:p>
  </w:footnote>
  <w:footnote w:type="continuationSeparator" w:id="0">
    <w:p w14:paraId="1AB7C566" w14:textId="77777777" w:rsidR="00800940" w:rsidRDefault="00800940" w:rsidP="005F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89FCB" w14:textId="77777777" w:rsidR="005F6499" w:rsidRPr="0033422C" w:rsidRDefault="005F6499" w:rsidP="005F6499">
    <w:pPr>
      <w:pStyle w:val="Header"/>
      <w:pBdr>
        <w:bottom w:val="single" w:sz="4" w:space="1" w:color="808080"/>
      </w:pBdr>
      <w:jc w:val="center"/>
      <w:rPr>
        <w:rFonts w:ascii="Arial" w:hAnsi="Arial"/>
        <w:bCs/>
        <w:color w:val="808080"/>
      </w:rPr>
    </w:pPr>
    <w:r w:rsidRPr="0033422C">
      <w:rPr>
        <w:rFonts w:ascii="Arial" w:hAnsi="Arial"/>
        <w:bCs/>
        <w:color w:val="808080"/>
      </w:rPr>
      <w:t>Davies: JC Smith's The Law of Contract</w:t>
    </w:r>
  </w:p>
  <w:p w14:paraId="2576F209" w14:textId="77777777" w:rsidR="005F6499" w:rsidRPr="00225BD0" w:rsidRDefault="005F6499" w:rsidP="005F6499">
    <w:pPr>
      <w:pStyle w:val="Header"/>
      <w:pBdr>
        <w:bottom w:val="single" w:sz="4" w:space="1" w:color="808080"/>
      </w:pBdr>
      <w:jc w:val="center"/>
      <w:rPr>
        <w:rFonts w:ascii="Arial" w:hAnsi="Arial"/>
        <w:color w:val="808080"/>
      </w:rPr>
    </w:pPr>
  </w:p>
  <w:p w14:paraId="2017DEC8" w14:textId="77777777" w:rsidR="005F6499" w:rsidRDefault="005F6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9E5CD1"/>
    <w:multiLevelType w:val="multilevel"/>
    <w:tmpl w:val="0407001D"/>
    <w:styleLink w:val="Bulletpoints"/>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1DF36E3"/>
    <w:multiLevelType w:val="multilevel"/>
    <w:tmpl w:val="0407001D"/>
    <w:styleLink w:val="Jura"/>
    <w:lvl w:ilvl="0">
      <w:start w:val="1"/>
      <w:numFmt w:val="upperLetter"/>
      <w:lvlText w:val="%1)"/>
      <w:lvlJc w:val="left"/>
      <w:pPr>
        <w:ind w:left="360" w:hanging="360"/>
      </w:pPr>
      <w:rPr>
        <w:rFonts w:asciiTheme="majorHAnsi" w:hAnsiTheme="majorHAnsi"/>
        <w:sz w:val="24"/>
      </w:rPr>
    </w:lvl>
    <w:lvl w:ilvl="1">
      <w:start w:val="1"/>
      <w:numFmt w:val="upperRoman"/>
      <w:lvlText w:val="%2)"/>
      <w:lvlJc w:val="left"/>
      <w:pPr>
        <w:ind w:left="720" w:hanging="360"/>
      </w:pPr>
    </w:lvl>
    <w:lvl w:ilvl="2">
      <w:start w:val="1"/>
      <w:numFmt w:val="ordinal"/>
      <w:lvlText w:val="%3)"/>
      <w:lvlJc w:val="left"/>
      <w:pPr>
        <w:ind w:left="1080" w:hanging="360"/>
      </w:pPr>
    </w:lvl>
    <w:lvl w:ilvl="3">
      <w:start w:val="1"/>
      <w:numFmt w:val="lowerLetter"/>
      <w:lvlText w:val="(%4)"/>
      <w:lvlJc w:val="left"/>
      <w:pPr>
        <w:ind w:left="1440" w:hanging="360"/>
      </w:pPr>
    </w:lvl>
    <w:lvl w:ilvl="4">
      <w:start w:val="27"/>
      <w:numFmt w:val="lowerLetter"/>
      <w:lvlText w:val="(%5)"/>
      <w:lvlJc w:val="left"/>
      <w:pPr>
        <w:ind w:left="1800" w:hanging="360"/>
      </w:pPr>
    </w:lvl>
    <w:lvl w:ilvl="5">
      <w:start w:val="1"/>
      <w:numFmt w:val="lowerRoman"/>
      <w:lvlText w:val="(%6)"/>
      <w:lvlJc w:val="left"/>
      <w:pPr>
        <w:ind w:left="2160" w:hanging="360"/>
      </w:pPr>
      <w:rPr>
        <w:rFonts w:asciiTheme="majorHAnsi" w:hAnsiTheme="majorHAnsi"/>
        <w:b w:val="0"/>
        <w:bCs w:val="0"/>
        <w:i w:val="0"/>
        <w:iCs w:val="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C7A2128"/>
    <w:multiLevelType w:val="multilevel"/>
    <w:tmpl w:val="0407001D"/>
    <w:styleLink w:val="Standard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3EA"/>
    <w:rsid w:val="00074213"/>
    <w:rsid w:val="000B17C8"/>
    <w:rsid w:val="00154357"/>
    <w:rsid w:val="001A363B"/>
    <w:rsid w:val="002A5582"/>
    <w:rsid w:val="002F5870"/>
    <w:rsid w:val="003247F6"/>
    <w:rsid w:val="003673EA"/>
    <w:rsid w:val="003C0A3F"/>
    <w:rsid w:val="003C5F51"/>
    <w:rsid w:val="004642C9"/>
    <w:rsid w:val="0048381C"/>
    <w:rsid w:val="00486899"/>
    <w:rsid w:val="00542CC3"/>
    <w:rsid w:val="005506F7"/>
    <w:rsid w:val="005718DD"/>
    <w:rsid w:val="0058752A"/>
    <w:rsid w:val="005E68CE"/>
    <w:rsid w:val="005F6499"/>
    <w:rsid w:val="006149BB"/>
    <w:rsid w:val="00652F85"/>
    <w:rsid w:val="00750084"/>
    <w:rsid w:val="007647D6"/>
    <w:rsid w:val="007D152C"/>
    <w:rsid w:val="007D7C9C"/>
    <w:rsid w:val="00800940"/>
    <w:rsid w:val="008718B6"/>
    <w:rsid w:val="008E27FF"/>
    <w:rsid w:val="00932C3E"/>
    <w:rsid w:val="009334F9"/>
    <w:rsid w:val="00A1415F"/>
    <w:rsid w:val="00A14178"/>
    <w:rsid w:val="00A36A94"/>
    <w:rsid w:val="00BA1AB0"/>
    <w:rsid w:val="00C61375"/>
    <w:rsid w:val="00C71F3F"/>
    <w:rsid w:val="00C75D90"/>
    <w:rsid w:val="00CC32FD"/>
    <w:rsid w:val="00D8570C"/>
    <w:rsid w:val="00DA094C"/>
    <w:rsid w:val="00DE21C1"/>
    <w:rsid w:val="00DF6828"/>
    <w:rsid w:val="00E665F2"/>
    <w:rsid w:val="00E760D5"/>
    <w:rsid w:val="00F514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83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points">
    <w:name w:val="Bulletpoints"/>
    <w:uiPriority w:val="99"/>
    <w:rsid w:val="004642C9"/>
    <w:pPr>
      <w:numPr>
        <w:numId w:val="1"/>
      </w:numPr>
    </w:pPr>
  </w:style>
  <w:style w:type="numbering" w:customStyle="1" w:styleId="Jura">
    <w:name w:val="Jura"/>
    <w:uiPriority w:val="99"/>
    <w:rsid w:val="002A5582"/>
    <w:pPr>
      <w:numPr>
        <w:numId w:val="2"/>
      </w:numPr>
    </w:pPr>
  </w:style>
  <w:style w:type="numbering" w:customStyle="1" w:styleId="Standard1">
    <w:name w:val="Standard1"/>
    <w:uiPriority w:val="99"/>
    <w:rsid w:val="000B17C8"/>
    <w:pPr>
      <w:numPr>
        <w:numId w:val="4"/>
      </w:numPr>
    </w:pPr>
  </w:style>
  <w:style w:type="paragraph" w:styleId="BalloonText">
    <w:name w:val="Balloon Text"/>
    <w:basedOn w:val="Normal"/>
    <w:link w:val="BalloonTextChar"/>
    <w:uiPriority w:val="99"/>
    <w:semiHidden/>
    <w:unhideWhenUsed/>
    <w:rsid w:val="003247F6"/>
    <w:rPr>
      <w:rFonts w:ascii="Tahoma" w:hAnsi="Tahoma" w:cs="Tahoma"/>
      <w:sz w:val="16"/>
      <w:szCs w:val="16"/>
    </w:rPr>
  </w:style>
  <w:style w:type="character" w:customStyle="1" w:styleId="BalloonTextChar">
    <w:name w:val="Balloon Text Char"/>
    <w:basedOn w:val="DefaultParagraphFont"/>
    <w:link w:val="BalloonText"/>
    <w:uiPriority w:val="99"/>
    <w:semiHidden/>
    <w:rsid w:val="003247F6"/>
    <w:rPr>
      <w:rFonts w:ascii="Tahoma" w:hAnsi="Tahoma" w:cs="Tahoma"/>
      <w:sz w:val="16"/>
      <w:szCs w:val="16"/>
      <w:lang w:val="en-GB"/>
    </w:rPr>
  </w:style>
  <w:style w:type="character" w:styleId="CommentReference">
    <w:name w:val="annotation reference"/>
    <w:basedOn w:val="DefaultParagraphFont"/>
    <w:uiPriority w:val="99"/>
    <w:semiHidden/>
    <w:unhideWhenUsed/>
    <w:rsid w:val="00C75D90"/>
    <w:rPr>
      <w:sz w:val="16"/>
      <w:szCs w:val="16"/>
    </w:rPr>
  </w:style>
  <w:style w:type="paragraph" w:styleId="CommentText">
    <w:name w:val="annotation text"/>
    <w:basedOn w:val="Normal"/>
    <w:link w:val="CommentTextChar"/>
    <w:uiPriority w:val="99"/>
    <w:semiHidden/>
    <w:unhideWhenUsed/>
    <w:rsid w:val="00C75D90"/>
    <w:rPr>
      <w:sz w:val="20"/>
      <w:szCs w:val="20"/>
    </w:rPr>
  </w:style>
  <w:style w:type="character" w:customStyle="1" w:styleId="CommentTextChar">
    <w:name w:val="Comment Text Char"/>
    <w:basedOn w:val="DefaultParagraphFont"/>
    <w:link w:val="CommentText"/>
    <w:uiPriority w:val="99"/>
    <w:semiHidden/>
    <w:rsid w:val="00C75D90"/>
    <w:rPr>
      <w:sz w:val="20"/>
      <w:szCs w:val="20"/>
      <w:lang w:val="en-GB"/>
    </w:rPr>
  </w:style>
  <w:style w:type="paragraph" w:styleId="CommentSubject">
    <w:name w:val="annotation subject"/>
    <w:basedOn w:val="CommentText"/>
    <w:next w:val="CommentText"/>
    <w:link w:val="CommentSubjectChar"/>
    <w:uiPriority w:val="99"/>
    <w:semiHidden/>
    <w:unhideWhenUsed/>
    <w:rsid w:val="00C75D90"/>
    <w:rPr>
      <w:b/>
      <w:bCs/>
    </w:rPr>
  </w:style>
  <w:style w:type="character" w:customStyle="1" w:styleId="CommentSubjectChar">
    <w:name w:val="Comment Subject Char"/>
    <w:basedOn w:val="CommentTextChar"/>
    <w:link w:val="CommentSubject"/>
    <w:uiPriority w:val="99"/>
    <w:semiHidden/>
    <w:rsid w:val="00C75D90"/>
    <w:rPr>
      <w:b/>
      <w:bCs/>
      <w:sz w:val="20"/>
      <w:szCs w:val="20"/>
      <w:lang w:val="en-GB"/>
    </w:rPr>
  </w:style>
  <w:style w:type="paragraph" w:styleId="Header">
    <w:name w:val="header"/>
    <w:basedOn w:val="Normal"/>
    <w:link w:val="HeaderChar"/>
    <w:unhideWhenUsed/>
    <w:rsid w:val="005F6499"/>
    <w:pPr>
      <w:tabs>
        <w:tab w:val="center" w:pos="4513"/>
        <w:tab w:val="right" w:pos="9026"/>
      </w:tabs>
    </w:pPr>
  </w:style>
  <w:style w:type="character" w:customStyle="1" w:styleId="HeaderChar">
    <w:name w:val="Header Char"/>
    <w:basedOn w:val="DefaultParagraphFont"/>
    <w:link w:val="Header"/>
    <w:uiPriority w:val="99"/>
    <w:rsid w:val="005F6499"/>
    <w:rPr>
      <w:lang w:val="en-GB"/>
    </w:rPr>
  </w:style>
  <w:style w:type="paragraph" w:styleId="Footer">
    <w:name w:val="footer"/>
    <w:basedOn w:val="Normal"/>
    <w:link w:val="FooterChar"/>
    <w:unhideWhenUsed/>
    <w:rsid w:val="005F6499"/>
    <w:pPr>
      <w:tabs>
        <w:tab w:val="center" w:pos="4513"/>
        <w:tab w:val="right" w:pos="9026"/>
      </w:tabs>
    </w:pPr>
  </w:style>
  <w:style w:type="character" w:customStyle="1" w:styleId="FooterChar">
    <w:name w:val="Footer Char"/>
    <w:basedOn w:val="DefaultParagraphFont"/>
    <w:link w:val="Footer"/>
    <w:uiPriority w:val="99"/>
    <w:rsid w:val="005F649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2016-04-28T14:54:00Z</dcterms:created>
  <dcterms:modified xsi:type="dcterms:W3CDTF">2021-02-27T14:01:00Z</dcterms:modified>
</cp:coreProperties>
</file>