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86E" w:rsidRDefault="003F786E" w:rsidP="003F786E">
      <w:pPr>
        <w:jc w:val="center"/>
        <w:rPr>
          <w:b/>
        </w:rPr>
      </w:pPr>
      <w:r w:rsidRPr="003F786E">
        <w:rPr>
          <w:b/>
          <w:i/>
        </w:rPr>
        <w:t>Introduction to Philosophy: Classical and Contemporary Readings</w:t>
      </w:r>
      <w:r>
        <w:rPr>
          <w:b/>
        </w:rPr>
        <w:t xml:space="preserve"> (9</w:t>
      </w:r>
      <w:r w:rsidRPr="003F786E">
        <w:rPr>
          <w:b/>
          <w:vertAlign w:val="superscript"/>
        </w:rPr>
        <w:t>th</w:t>
      </w:r>
      <w:r>
        <w:rPr>
          <w:b/>
        </w:rPr>
        <w:t xml:space="preserve"> Edition)</w:t>
      </w:r>
    </w:p>
    <w:p w:rsidR="003F786E" w:rsidRDefault="003F786E" w:rsidP="003F786E">
      <w:pPr>
        <w:jc w:val="center"/>
      </w:pPr>
    </w:p>
    <w:p w:rsidR="003F786E" w:rsidRPr="003F786E" w:rsidRDefault="003F786E" w:rsidP="003F786E">
      <w:pPr>
        <w:jc w:val="center"/>
      </w:pPr>
    </w:p>
    <w:p w:rsidR="00D52D51" w:rsidRPr="003F786E" w:rsidRDefault="00D52D51" w:rsidP="003F786E">
      <w:pPr>
        <w:jc w:val="center"/>
        <w:rPr>
          <w:b/>
          <w:sz w:val="32"/>
          <w:szCs w:val="32"/>
        </w:rPr>
      </w:pPr>
      <w:r w:rsidRPr="003F786E">
        <w:rPr>
          <w:b/>
          <w:sz w:val="32"/>
          <w:szCs w:val="32"/>
        </w:rPr>
        <w:t>P</w:t>
      </w:r>
      <w:r w:rsidR="007C2941">
        <w:rPr>
          <w:b/>
          <w:sz w:val="32"/>
          <w:szCs w:val="32"/>
        </w:rPr>
        <w:t>art</w:t>
      </w:r>
      <w:r w:rsidRPr="003F786E">
        <w:rPr>
          <w:b/>
          <w:sz w:val="32"/>
          <w:szCs w:val="32"/>
        </w:rPr>
        <w:t xml:space="preserve"> </w:t>
      </w:r>
      <w:r w:rsidR="007C2941">
        <w:rPr>
          <w:b/>
          <w:sz w:val="32"/>
          <w:szCs w:val="32"/>
        </w:rPr>
        <w:t>I</w:t>
      </w:r>
      <w:r w:rsidR="00C51B39">
        <w:rPr>
          <w:b/>
          <w:sz w:val="32"/>
          <w:szCs w:val="32"/>
        </w:rPr>
        <w:t>V</w:t>
      </w:r>
      <w:r w:rsidRPr="003F786E">
        <w:rPr>
          <w:b/>
          <w:sz w:val="32"/>
          <w:szCs w:val="32"/>
        </w:rPr>
        <w:t xml:space="preserve"> Summary: </w:t>
      </w:r>
      <w:r w:rsidR="00C51B39" w:rsidRPr="00C51B39">
        <w:rPr>
          <w:b/>
          <w:sz w:val="32"/>
          <w:szCs w:val="32"/>
        </w:rPr>
        <w:t>Minds, Bodies, and Persons</w:t>
      </w:r>
    </w:p>
    <w:p w:rsidR="00D52D51" w:rsidRDefault="00D52D51" w:rsidP="00D52D51"/>
    <w:p w:rsidR="003F786E" w:rsidRDefault="003F786E" w:rsidP="00D52D51"/>
    <w:p w:rsidR="00E32E37" w:rsidRDefault="00E32E37" w:rsidP="00D52D51"/>
    <w:p w:rsidR="003F786E" w:rsidRPr="00D52D51" w:rsidRDefault="003F786E" w:rsidP="00D52D51"/>
    <w:p w:rsidR="00C51B39" w:rsidRDefault="00C51B39" w:rsidP="00C51B39">
      <w:pPr>
        <w:rPr>
          <w:rFonts w:ascii="Garamond" w:hAnsi="Garamond"/>
          <w:b/>
        </w:rPr>
      </w:pPr>
      <w:r>
        <w:rPr>
          <w:rFonts w:ascii="Garamond" w:hAnsi="Garamond"/>
          <w:b/>
        </w:rPr>
        <w:t>David M. Armstrong, “The Nature of Mind”</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Armstrong’s task in this article is to sketch a theory of the mind that is consistent with a view he calls “materialism.” Materialism, as Armstrong understands it, is just the view that we can give a complete account of human beings in purely physico-chemical terms. We don’t need to make reference to any sort of soul or spirit or immaterial mental properties to make sense of humans. Armstrong contends that our best science is leading us in this direction; thus, it is worth attempting to construct a theory of the mind that is consistent with materialism.</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 theory that Armstrong presents is actually a synthesis of two different views: dualism and behaviorism. Dualism is just the Cartesian view that the inner is utterly different than the outer and that there are mental occurrences in just the same sense as there are physical occurrences. Behaviorism, on the other hand, is the view that all talk of mental occurrences can be reduced to talk about outward behavior. Armstrong tries to bring these two views together.</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Behaviorism is certainly attractive to materialists, but Armstrong thinks it is open to fatal objections. Most important, it seems to completely overlook the fact that there seems to be a lot going on inside us even when we aren’t displaying any outward behavior. Behaviorists attempt to meet this objection by talking about </w:t>
      </w:r>
      <w:r>
        <w:rPr>
          <w:rFonts w:ascii="Garamond" w:hAnsi="Garamond"/>
          <w:i/>
        </w:rPr>
        <w:t xml:space="preserve">dispositions </w:t>
      </w:r>
      <w:r>
        <w:rPr>
          <w:rFonts w:ascii="Garamond" w:hAnsi="Garamond"/>
        </w:rPr>
        <w:t xml:space="preserve">to behave in certain ways, but Armstrong thinks that even talk of dispositions isn’t robust enough to do justice to what goes on inside our heads. However, he thinks that the behaviorists are right to say that the mind is somehow tied to behavior. Indeed, Armstrong suggests that perhaps the mind is just whatever it is that </w:t>
      </w:r>
      <w:r>
        <w:rPr>
          <w:rFonts w:ascii="Garamond" w:hAnsi="Garamond"/>
          <w:i/>
        </w:rPr>
        <w:t xml:space="preserve">causes </w:t>
      </w:r>
      <w:r>
        <w:rPr>
          <w:rFonts w:ascii="Garamond" w:hAnsi="Garamond"/>
        </w:rPr>
        <w:t>outward behavior.</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This suggestion is consistent with materialism (unlike dualism), and it does justice to our own experience of our thoughts (unlike behaviorism). Armstrong then goes on to develop this suggestion a bit more, including defining a “mental state” as “a state of the person apt for producing certain ranges of behavior.” Finally, he considers an objection to the account, namely, that the account doesn’t seem to make room for </w:t>
      </w:r>
      <w:r>
        <w:rPr>
          <w:rFonts w:ascii="Garamond" w:hAnsi="Garamond"/>
          <w:i/>
        </w:rPr>
        <w:t>consciousness</w:t>
      </w:r>
      <w:r>
        <w:rPr>
          <w:rFonts w:ascii="Garamond" w:hAnsi="Garamond"/>
        </w:rPr>
        <w:t>. Surely when we act it’s not only the case that some of our inner states are causing our outward behavior—it’s also true that we are aware that this is going on. So where does consciousness fit in?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Armstrong concludes by suggesting a response to this objection. He draws an analogy between consciousness and perception and then contends that consciousness is nothing but perception or awareness of the state of one’s own mind. And just as the account doesn’t rule out perception in general, so it doesn’t rule out perception that is directed at one’s own mind.</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the end, Armstrong points out that there is much more to be done to develop this sort of account, but he is pleased that it at least offers a promising alternative for those who accept materialism.</w:t>
      </w:r>
    </w:p>
    <w:p w:rsidR="00C51B39" w:rsidRDefault="00C51B39" w:rsidP="00C51B39">
      <w:pPr>
        <w:rPr>
          <w:rFonts w:ascii="Garamond" w:hAnsi="Garamond"/>
          <w:b/>
        </w:rPr>
      </w:pPr>
      <w:r>
        <w:rPr>
          <w:rFonts w:ascii="Garamond" w:hAnsi="Garamond"/>
        </w:rPr>
        <w:br w:type="page"/>
      </w:r>
      <w:r>
        <w:rPr>
          <w:rFonts w:ascii="Garamond" w:hAnsi="Garamond"/>
          <w:b/>
        </w:rPr>
        <w:lastRenderedPageBreak/>
        <w:t>Paul M. Churchland, “Eliminative Materialism”</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Eliminative materialism is the view that our commonsense psychological framework is false and misleading and thus should be jettisoned. Other materialist theories of the mind, such as the identity theory or behaviorism, attempt a reduction of folk psychology to neuroscience, but eliminative materialism asserts that no such reduction is possible because our folk concepts are hopelessly confused. In this selection, Paul M. Churchland outlines and defends this view.</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Churchland begins by pointing out that such a radical view is not altogether unprecedented in the history of ideas. To take just one example, in the past many thought that there was a mysterious substance called “phlogiston” that was involved when something burned. But advances in science showed us that this idea was confused, and eventually everyone agreed that phlogiston does not exist. Churchland thinks a similar fate will come to the concepts of folk psychology.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He provides three arguments in favor of eliminative materialism and three arguments against. The arguments for the view are as follows: First, Churchland points to the widespread explanatory failures of folk psychology in support of the view that it is hopelessly confused. Second, he argues via a sort of induction that most of our other folk theories about scientific phenomena have been eliminated (e.g., the view that the universe rotates around the Earth). And third, he points out that eliminative materialism seems more likely to be true than either the identity theory or behaviorism simply because it does not have the extra burden of attempting a reduction of folk concepts to neuroscientific concepts.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Churchland concludes by considering and responding to three arguments against his view. The first is that one’s introspection reveals the existence of pains and beliefs and other folk psychological items. Churchland replies by pointing out that all observation occurs within a conceptual framework. Part of his position is that we need to get rid of our whole conceptual framework. Second, someone might argue that the eliminative materialist cannot coherently assert his theory, because to assert it meaningfully would be to have a belief that causes him to assert it. But Churchland replies that this objection relies on a contentious view about what makes assertions meaningful. Finally, someone might object that at the very least, the eliminative materialist is exaggerating things. Churchland concedes that this may be true and that we should certainly leave room for the possibility that some folk concepts will be reduced and some will be eliminated. However, he at least wants to make the point that we should take the possibility of elimination very seriously.</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rPr>
        <w:br w:type="page"/>
      </w:r>
      <w:r>
        <w:rPr>
          <w:rFonts w:ascii="Garamond" w:hAnsi="Garamond"/>
          <w:b/>
        </w:rPr>
        <w:lastRenderedPageBreak/>
        <w:t>Frank Jackson, “What Mary Didn’t Know”</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short piece, Frank Jackson clarifies the knowledge argument against physicalism and responds to three objections that have been raised against the argument by Paul Churchland.</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 knowledge argument runs as follows: Imagine that Mary is raised in a completely black-and-white environment and that she learns through lectures on black-and-white TV all the physical facts about the real world. If physicalism is true, then Mary knows all there is to know. But it seems that she doesn’t know all there is to know. In particular, when she gets let out of the room, she will learn what it is like to see red and, hence, learn something new about others’ experiences that she did not know before. Thus, physicalism is false.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Jackson presents three clarifications. First, the argument is not about what Mary can imagine; it’s about what Mary can know. Second, it’s not about the intentionality of knowledge and whether knowledge can be transferred over logical implication. And third, it’s not about her learning more about her own experience—it’s about her coming to know something about the experience of others that she previously didn’t know.</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Finally, Jackson responds to three of Paul Churchland’s objections. Churchland’s first objection is that the argument equivocates between knowledge by acquaintance and knowledge by description. Jackson responds that the argument is not about different types of knowledge—it is about the scope of Mary’s knowledge. When she is let out into the real world, she learns something new. Churchland’s second objection is that if the argument works against physicalism, it works against dualism, too, as Mary could have learned all the facts about qualia through a black-and-white TV set, too. But Jackson thinks it is implausible to suppose that facts about qualia could be communicated through TV, whereas it is not implausible to suppose the same in the physicalist case. Churchland’s final objection brings up considerations of imagination, but as Jackson already pointed out, the knowledge argument is not about imagination.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Thus, Jackson concludes that the knowledge argument has not yet been refuted.</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rPr>
        <w:br w:type="page"/>
      </w:r>
      <w:r>
        <w:rPr>
          <w:rFonts w:ascii="Garamond" w:hAnsi="Garamond"/>
          <w:b/>
        </w:rPr>
        <w:lastRenderedPageBreak/>
        <w:t>Patricia Churchland, “Neurophilosophy”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article, Patricia Churchland articulates “neurophilosophy,” an approach to philosophy that utilizes scientific discoveries to consider a large range of traditional philosophical questions. Particularly, she focuses on the relevance of neurophilosophy for philosophy of mind, especially the debate between physicalists and dualists. Neurophilosophy, Churchland argues, clearly suggests that dualism is false. Through this discussion, Churchland is led to reflect on philosophy more generally, including why philosophers are often hesitant to draw on science to arrive at philosophical answers.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her introduction, Churchland defines “neurophilosophy,” and provides a helpful introduction to it. She then, in section 2, turns to the question of how the brain and mind are related. She articulates the dualist and physicalists positions, and then argues that science suggests that dualism is false. She then considers two responses a dualism might make to her neurophilosophical argument. They might argue for a kind of epiphenomenalism, or they might argue that the data she adverts to are actually neutral with respect to this debate. Ultimately, Churchland thinks that much of the resistance to neurophilosophy (and Physicalism) is motivated by philosophical biases toward conceptual analysis and necessary truths, which make conceivability more important than, she argues, it is. In the next section, Churchland relates the history of neurophilosophy, particularly her early work in the field. And then, in section 4, she turns to one of Quine’s dogmas, which takes it that conceptual analysis tells us something about the way the world is. She discusses how worrisome this dogma is and thereby argues for a neurophilosophical approach.</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br w:type="page"/>
      </w:r>
      <w:r>
        <w:rPr>
          <w:rFonts w:ascii="Garamond" w:hAnsi="Garamond"/>
          <w:b/>
        </w:rPr>
        <w:lastRenderedPageBreak/>
        <w:t>A. M. Turing, “Computing Machinery and Intelligence”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selection, Turing considers the question “Can machines think?” Or, rather, he replaces that question with another: “Can a machine play the imitation game?” The imitation game involves three players. Player A is a man, player B is a woman, and player C’s job is to figure out which player is the man and which is the woman. Player C can ask any questions that he wants to, and players A and B will respond via typewritten messages. Player C cannot see or touch or hear either of the other two players and must try to determine the sex of the players completely from the way they answer the questions. Turing’s question, then, is whether a machine could take the place of either player A or B and answer questions in such a way that a human interrogator would have about the same success distinguishing the human from the machine as he would distinguishing the man from the woman.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Because computers were just getting off the ground when Turing was writing this piece, he spends quite a bit of time explaining what a digital computer is and how it works. Eventually, he turns his attention back to the question with which he started. Could a machine play the imitation game well enough to fool a human interrogator? Turing then considers potential objections to his using this question to replace the original “Can machines think?” What follows is a representative sample of these objections, along with Turing’s responses.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 first objection Turing considers deals with the results of Gödel’s incompleteness theorem and other similar results. Gödel’s theorem shows that there is a defect in any machine, and this objection points out that because there is no parallel defect in human beings, human beings cannot be machines. Turing responds by pointing out that we have no way to be sure that the same defect is not in human beings just as it is in machines.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Another objection raises the point that although machines might be able to perform tasks, in some sense, they cannot be aware that they are performing tasks. Machines are not conscious. But Turing responds that this attitude would ultimately lead to solipsism, because, strictly speaking, we cannot show that other human beings are conscious either.</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A third objection is that there are many things you can’t get a computer to do, such as fall in love or be friendly or make mistakes. But Turing thinks that this objection is the product of some sort of induction from actually observing computers. Because computers that existed at the time were not terribly complex, this sort of objector concluded that no computer could be complex enough to do these tasks. But this sort of induction is certainly unwarranted, according to Turing.</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Turing ends the piece with some speculative remarks about the possibility of creating a machine with the mind of a child, and then subjecting it to some sort of education process so that it is actually a learning machine.</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rPr>
        <w:br w:type="page"/>
      </w:r>
      <w:r>
        <w:rPr>
          <w:rFonts w:ascii="Garamond" w:hAnsi="Garamond"/>
          <w:b/>
        </w:rPr>
        <w:lastRenderedPageBreak/>
        <w:t>John R. Searle, “Minds, Brains, and Programs”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Searle’s goal in this selection is to argue against the claims of what he calls strong artificial intelligence (AI). Whereas weak AI is the claim that computers give us a powerful tool to study the mind, strong AI is the view that an appropriately programmed computer </w:t>
      </w:r>
      <w:r>
        <w:rPr>
          <w:rFonts w:ascii="Garamond" w:hAnsi="Garamond"/>
          <w:i/>
        </w:rPr>
        <w:t xml:space="preserve">is </w:t>
      </w:r>
      <w:r>
        <w:rPr>
          <w:rFonts w:ascii="Garamond" w:hAnsi="Garamond"/>
        </w:rPr>
        <w:t>a mind. Searle argues against strong AI by utilizing his now-famous Chinese Room thought experiment, which runs as follows.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Searle asks us to imagine that he is put in a room and handed slips of paper with Chinese sentences written on them. The room he is in contains many volumes of books that tell him exactly which symbols to hand back outside the room in response to the various strings of symbols that he is handed. In other words, he is given some input in the form of Chinese sentences, he uses that input to produce an output based on what he finds in the books, and the output is also in the form of Chinese sentences. He asks us to imagine further that he gets very good at figuring out which books he needs to consult so that he can complete the process very quickly. Now Searle asks: Does he understand Chinese?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Searle thinks it is clear that merely being a part of this setup is not sufficient for his understanding Chinese. However, he thinks that according to strong AI, this sort of setup is all that is needed for thinking. Therefore, Searle concludes that strong AI must be mistaken. And, in general, his thought experiment appears to show that there can be two machines that both pass the Turing test, even though only one of those machines (the human, in this case) truly understands what’s going on.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There are various objections to consider at this point. Here are a few. The systems reply objects that even though the human inside of the Chinese room doesn’t understand Chinese, nevertheless the entire system, including books and pieces of paper, does understand Chinese. But Searle thinks that this objection, in addition to being incredible, overlooks the fact that the same thought experiment can be run even if we assume that the human has internalized all of the books and other parts of the system.</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 brain simulator reply points out that we could make a computer that exactly parallels whatever goes on in a fluent Chinese speaker’s brain when he or she understands Chinese, and that such a computer would surely understand Chinese. But Searle responds that even in such a case, there would be no understanding, because you could just change the original thought experiment so that the man in the room turns on and shuts off water valves that correspond to the neural firings of a Chinese speaker. In such a case, the man doesn’t understand.</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Finally, someone might object that we will probably eventually be able to build machines that process in whatever way is required for understanding. Searle admits that this might be true, but he thinks it trivializes the claims of strong AI, because strong AI is supposed to give us insight into what understanding is all about.</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Overall, Searle concludes that although we probably could create a computer with understanding, it won’t be one whose operation is defined as an instantiation of a computer program.</w:t>
      </w:r>
    </w:p>
    <w:p w:rsidR="00C51B39" w:rsidRDefault="00C51B39" w:rsidP="00C51B39">
      <w:pPr>
        <w:rPr>
          <w:rFonts w:ascii="Garamond" w:hAnsi="Garamond"/>
          <w:b/>
        </w:rPr>
      </w:pPr>
      <w:r>
        <w:rPr>
          <w:rFonts w:ascii="Garamond" w:hAnsi="Garamond"/>
        </w:rPr>
        <w:br w:type="page"/>
      </w:r>
      <w:r>
        <w:rPr>
          <w:rFonts w:ascii="Garamond" w:hAnsi="Garamond"/>
          <w:b/>
        </w:rPr>
        <w:lastRenderedPageBreak/>
        <w:t>John Perry, “A Dialogue on Personal Identity and Immortality”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This selection is an entertaining dialogue in which three characters discuss philosophical issues surrounding personal identity and immortality. It’s a fairly long selection, so this summary includes only the highlights.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To begin with, the characters are Weirob, a philosopher who is on her deathbed; Miller, friend to Weirob and chaplain; and Cohen, a former student of Weirob’s. The main points of the dialogue are brought out by Weirob and Miller, who stand on opposite sides of the theism debate, although Cohen occasionally throws in an insightful comment.</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 dialogue begins with Weirob issuing a challenge to Miller. She challenges him to persuade her that survival after bodily death is possible. Miller then proceeds to give various responses to this challenge. He first tries out the idea that Weirob will survive bodily death because there will be someone in heaven who is qualitatively identical to her. But Weirob points out that mere qualitative identity is not the identity relevant to her concern. Miller then tries arguing that because Weirob is really a soul, the soul is what will survive after bodily death. But Weirob responds that we have no way of judging sameness of soul over time, as the soul is something we cannot see. So, if our judgments about personal identity had to do with sameness of soul, we would never know whether we were right in judging that one person at one time is the same at another time. But surely, we do know that our judgments are correct. Miller then tries appealing to sameness of psychological characteristics over time to explain sameness of soul over time, but this falls prey to similar objections. Finally, Miller suggests that he can generalize from his own case, as he clearly knows that there is a correlation between body and soul in his own case. But Weirob questions whether he can be certain about even that.</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During the second night of the dialogue, Miller argues directly against explaining personal identity in terms of bodily identity. He points out that we can know that we are the same person over time without ever opening our eyes and, thus, without knowing that we have the same body that we used to. He then goes on to give an account of personal identity in terms of person-stages that are connected via memory over time. He gets himself into a bit of a circle when he tries to explain how to distinguish between someone who actually does remember an event and someone who only seems to remember an event, but Cohen pipes up to help out. Cohen suggests that if we introduce causation into the person-stage memory picture, we can get out of the circle. But then he runs into problems explaining how God could make it the case that a person-stage here on earth stands in a causal relationship to a person-stage up in heaven.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Finally, on the third night, the three characters leave the topic of an afterlife and discuss personal identity itself. They spend most of the rest of the dialogue discussing in detail a brain transplant thought experiment.</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the end, Weirob dies, but at least she had an interesting philosophical discussion before she went.</w:t>
      </w:r>
    </w:p>
    <w:p w:rsidR="00C51B39" w:rsidRDefault="00C51B39" w:rsidP="00C51B39">
      <w:pPr>
        <w:rPr>
          <w:rFonts w:ascii="Garamond" w:hAnsi="Garamond"/>
          <w:b/>
        </w:rPr>
      </w:pPr>
      <w:r>
        <w:rPr>
          <w:rFonts w:ascii="Garamond" w:hAnsi="Garamond"/>
        </w:rPr>
        <w:br w:type="page"/>
      </w:r>
      <w:r>
        <w:rPr>
          <w:rFonts w:ascii="Garamond" w:hAnsi="Garamond"/>
          <w:b/>
        </w:rPr>
        <w:lastRenderedPageBreak/>
        <w:t>Derek Parfit, “Personal Identity”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article, Parfit attempts to undermine two common beliefs about personal identity through time and to propose an alternative account of what matters to us when we speak of personal identity. The two beliefs he aims to undermine can be stated as follows:</w:t>
      </w:r>
    </w:p>
    <w:p w:rsidR="00C51B39" w:rsidRDefault="00C51B39" w:rsidP="00C51B39">
      <w:pPr>
        <w:rPr>
          <w:rFonts w:ascii="Garamond" w:hAnsi="Garamond"/>
        </w:rPr>
      </w:pPr>
    </w:p>
    <w:p w:rsidR="00C51B39" w:rsidRDefault="00C51B39" w:rsidP="00C51B39">
      <w:pPr>
        <w:ind w:left="990" w:hanging="270"/>
        <w:rPr>
          <w:rFonts w:ascii="Garamond" w:hAnsi="Garamond"/>
        </w:rPr>
      </w:pPr>
      <w:r>
        <w:rPr>
          <w:rFonts w:ascii="Garamond" w:hAnsi="Garamond"/>
        </w:rPr>
        <w:t>1. There is always a definite answer to questions about personal identity.</w:t>
      </w:r>
    </w:p>
    <w:p w:rsidR="00C51B39" w:rsidRDefault="00C51B39" w:rsidP="00C51B39">
      <w:pPr>
        <w:spacing w:before="60"/>
        <w:ind w:left="990" w:hanging="270"/>
        <w:rPr>
          <w:rFonts w:ascii="Garamond" w:hAnsi="Garamond"/>
        </w:rPr>
      </w:pPr>
      <w:r>
        <w:rPr>
          <w:rFonts w:ascii="Garamond" w:hAnsi="Garamond"/>
        </w:rPr>
        <w:t>2. Unless questions about personal identity have a definite answer, we cannot answer certain other important questions about things such as survival, memory, and responsibility.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Against the first belief, Parfit describes a case meant to support the conclusion that the belief is implausible. Against the second, Parfit argues that those other important questions (about survival, memory, and responsibility) only </w:t>
      </w:r>
      <w:r>
        <w:rPr>
          <w:rFonts w:ascii="Garamond" w:hAnsi="Garamond"/>
          <w:i/>
        </w:rPr>
        <w:t xml:space="preserve">appear </w:t>
      </w:r>
      <w:r>
        <w:rPr>
          <w:rFonts w:ascii="Garamond" w:hAnsi="Garamond"/>
        </w:rPr>
        <w:t>to presuppose questions about personal identity, and once they are freed from this presupposition, we will see that personal identity is not that important after all.</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First, the problem case. Consider a case of fission, where my brain is split and put into two new bodies. What happens to me? It seems there are only three possibilities: (1) I do not survive, (2) I survive as one of the two people, or (3) I survive as both. But each of these has its share of implausibility. The trouble with option 1 is that it is plausible to suppose both that someone can survive having their whole brain transplanted into another body and that someone can survive with half of his or her brain destroyed. If we put those plausible suppositions together, it also seems plausible to suppose that someone can survive having his or her brain split and then transplanted. The trouble with option 2 is that any choice of which person I survive as would be arbitrary. And the trouble with option 3 is that it seems to violate the transitivity of identity (that is, if “survival” is a matter of identity). What do we do?</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This problem case suggests that the first belief mentioned earlier is mistaken. Maybe there is no right answer to the question of personal identity here. Moreover, Parfit suggests that this case shows us that we need a sense in which one person can survive as two. If we give up talking about </w:t>
      </w:r>
      <w:r>
        <w:rPr>
          <w:rFonts w:ascii="Garamond" w:hAnsi="Garamond"/>
          <w:i/>
        </w:rPr>
        <w:t>identity</w:t>
      </w:r>
      <w:r>
        <w:rPr>
          <w:rFonts w:ascii="Garamond" w:hAnsi="Garamond"/>
        </w:rPr>
        <w:t>, we can consistently go with option 3—that I survive as two people without violating the transitivity of identity. And because it seems that what matters to survival is present in this problem case, we should find a sense of “survival” according to which I do survive a case of fission as both resulting people.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To find such a sense, Parfit turns to talking about psychological continuity, as it seems that the relations that matter when we speak of personal identity are all relations of psychological continuity. He develops an account of psychological continuity, and he explains how it can account for our intuitions about a range of cases.</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rPr>
        <w:br w:type="page"/>
      </w:r>
      <w:r>
        <w:rPr>
          <w:rFonts w:ascii="Garamond" w:hAnsi="Garamond"/>
        </w:rPr>
        <w:lastRenderedPageBreak/>
        <w:t xml:space="preserve">J. </w:t>
      </w:r>
      <w:r>
        <w:rPr>
          <w:rFonts w:ascii="Garamond" w:hAnsi="Garamond"/>
          <w:b/>
        </w:rPr>
        <w:t>David Velleman, “So It Goes”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piece, Velleman sets out to explore the Buddhist idea that the enduring self is an illusion. He agrees with Derek Parfit that giving up the idea of an enduring self can have beneficial consequences but thinks that its consequences are even more radical than Parfit imagined.</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Velleman begins by exploring the very idea of an enduring self, arguing that we get the idea of an enduring self in the first place by projecting our current selves into our memories of the past and our anticipations of the future. As Velleman says, when he is remembering a five-year-old blowing out candles at his birthday party, he “conflate[s] [his] remembering self with the self of the experience remembered,” so he ends up thinking that he himself was back there blowing out those candles.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Velleman then goes on to argue that the idea of an enduring self is intimately connected to the idea of the passage of time, and that to give up the former would also lead to giving up the latter. (He argues for their connection in part by considering various views about the nature of time, including eternalism and presentism, eventually giving a sustained argument against presentism.) The conclusions that Parfit comes to about an enduring self are not radical enough precisely because Parfit still attempts to hold onto the passage of time. Velleman argues that we should reject them both.</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Finally, Velleman makes some intriguing suggestions about how rejecting these two ideas can help us to cope with suffering, the prospect of death, and general anxieties of life, just as Buddhists have always thought.</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b/>
        </w:rPr>
        <w:br w:type="page"/>
      </w:r>
      <w:r>
        <w:rPr>
          <w:rFonts w:ascii="Garamond" w:hAnsi="Garamond"/>
          <w:b/>
        </w:rPr>
        <w:lastRenderedPageBreak/>
        <w:t>Daniel Dennett, “Where Am I?”</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This article is an extended thought experiment, meant to help the reader think philosophically about issues involving personal identity and survival. Here’s the basic idea.</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Dennett describes an important job for which he was recruited by the Pentagon. They want him to go underground to retrieve a missile that got lodged under Tulsa, Oklahoma, and because the missile is extremely radioactive, they want him to leave his brain behind. (This is a fictional story, by the way.) He agrees and undergoes an operation to have his brain removed, placed in a vat, and connected via radio links to his body. He wakes up, goes to visit his brain floating in the vat, and he asks, “Where am I?”</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It’s a tough question, given that his brain is in the vat at which he is now looking and his body is standing outside the vat looking in at his brain. He begins to think about the question philosophically, and gives names to his brain and his body to keep things straight. He names his bodiless brain “Yorick” and his brainless body “Hamlet.” He knows where Yorick is—in the vat. And he knows where Hamlet is—outside the vat. But the question is, Where’s Dennett? He runs through three possibilities: (1) Where Hamlet goes, there goes Dennett; (2) Where Yorick goes, there goes Dennett; and (3) Dennett is wherever he thinks he is. The problem is that each of these choices seems wrong.</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Against option 1, Dennett appeals to the fact that it seems like he would be able to survive a simple brain transplant operation, in which his brain is placed in a different body and his old body is destroyed. If he would survive such an operation, then he can’t be where Hamlet is, as Hamlet is just his old body. Against option 2, Dennett points out that if he were to commit a crime and the police were to lock up Yorick, Dennett would still feel like a free man. Locking up Yorick doesn’t accomplish the goal of locking up Dennett, because Hamlet would still be free to roam the world. So, Dennett can’t be Yorick either. But option 3 is equally unsatisfying, because there are other circumstances in which people can temporarily change their point of view without thereby changing their location (for example, in a factory where someone is using a robotic arm or in a movie theater).</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He fails to settle the question at this point, so he sets off for his underground adventure. As he is down by the missile, his body begins to lose contact with his brain back in Tulsa. Slowly he loses his five senses until finally he can neither feel nor see nor hear nor taste nor smell anything. Yet he is still thinking to himself—he decides that he is now back in the vat in Tulsa, having completely lost touch with the body that is still underground. He cannot communicate with anyone and begins to panic. But his team of scientists tranquilizes him for a while, and then he wakes up to hear them talking to him. He doesn’t have ears, of course, but they have plugged a microphone directly into his auditory nerve and are reassuring him that they are going to try to “re-embody” him as soon as they can.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Dennett gets a new body, which he calls “Fortinbras,” and although he looks quite different in the mirror, he still feels like the same old Dennett. He goes back to the room where Yorick is to pay him a visit, but he finds out that Yorick is no longer in control of his new body. The scientists have created a computer program that exactly matches the inputs and outputs of Yorick so that Dennett doesn’t even know the difference. Dennett’s new body is now being controlled by this new “brain,” which he calls “Hubert.”</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A switch allows Dennett to toggle between having Fortinbras controlled by Yorick and having Fortinbras controlled by Hubert. He can switch back and forth without even noticing the </w:t>
      </w:r>
      <w:r>
        <w:rPr>
          <w:rFonts w:ascii="Garamond" w:hAnsi="Garamond"/>
        </w:rPr>
        <w:lastRenderedPageBreak/>
        <w:t>slightest difference. But a worry remains: What if someone were to take the “brain” that Dennett wasn’t using at the moment and attach it to a different body? There would certainly then be two people, but which would be Dennett? Or consider a case not so extreme: What if the technicians just disconnected Yorick from Fortinbras altogether. Would there be two people in this case, too—the one Fortinbras-Hubert pair and the other Yorick? Which would be Dennett?</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Because of these disconcerting questions, Dennett decides that the lab should be completely locked up, and Dennett carries the only master switch with him, unmarked, so that he never knows whether Yorick or Hubert is controlling his body.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At the end of the article, Dennett decides to flip the switch, only to find out that something has gone wrong. The other brain—Hubert or Yorick, we don’t know—has gotten out of synch with what has been going on with Dennett for a while so that the other brain (person?) realized he wasn’t really controlling anything and hence was a sort of prisoner inside of Fortinbras. When Dennett flips the switch, this brain (which seems quite upset with its plight) is glad to have been let out, and he plans to fly back to Houston to get one of them a new body.</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rPr>
        <w:br w:type="page"/>
      </w:r>
      <w:r>
        <w:rPr>
          <w:rFonts w:ascii="Garamond" w:hAnsi="Garamond"/>
          <w:b/>
        </w:rPr>
        <w:lastRenderedPageBreak/>
        <w:t>Marya Schechtman, “Personhood and Personal Identity”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paper, Marya Schechtman argues against the psychological-continuity view of personal identity. This view notoriously faces problems with circularity, and Schechtman argues that the solution contemporary theorists have devised to address this problem doesn’t work. Schechtman then diagnoses why such views cannot succeed in escaping the circularity problem, arguing that these theorists conflate two questions. Attention to the second of these questions, Schechtman holds, reveals an interesting philosophical project concerning personal identity, which theorists have overlooked. Schechtman concludes by gesturing at how we might approach that project, in light of her discussion.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Schechtman begins her paper by distinguishing two questions: the question of reidentification and the question of self-knowledge. Traditionally, she explains, the question of personal identity has been thought to concern the first of these two questions: it has to do, in other words, with which history one’s life is a continuation of. Contemporary theorists have generally focused either on bodily or psychological continuity. The latter kind of view is more popular, and this is the kind of view on which Schechtman focuses.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Section I, Schechtman lays out Derek Parfit’s particular psychological continuity view, which takes it that psychological continuity is a matter of one’s being strongly psychologically connected a person through various mental states. Parfit’s view is representative of typical psychological-continuity views, and it reflects the reductionist project such views undertake. Such views, that is, aim to analyze the concept of personal identity without referencing that concept. Circularity is devastating to such a project. In section II, Schechtman turns to such a circularity problem for psychological continuity views. The problem arises from the possibility of delusional memories (or intentions, desires, etc.) The psychological continuity view needs to be able to distinguish between real and apparent memories, but the only way to do so seems to be to appeal to whose memory it is. And this means referring to personal identity. The solution that Parfit and others suggest to this problem is to distinguish memories from “quasi-memories.” I have an accurate quasi-memory if I seem to remember having some experience, someone did have that experience, and my apparent memory is causally dependent, in the right way, on that past experience.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section III, Schechtman argues that this solution doesn’t work. Parfit focuses on the relation between my seemingly remembering something and what happened. But, Schechtman argues, he ignores the reference the content of our memories make to ourselves. If I have a quasi-memory that isn’t my own, I will either need to have so much of my psychology changed so that I can relate to it that I will be effectively delusional, or my relation to the quasi-memory will not be such that it can establish the sort of psychological connectedness on which the continuity view relies. Finally, Schechtman argues, in section IV, that the problem arises from a conflation of the question of reidentification and the question of self-knowledge, which has to do with one’s self-conception. The reductionist project reflects the first question, but the second sort of question motivates the psychological continuity view. This leads Schechtman to reimagine the philosophical project of accounting for personal identity.</w:t>
      </w:r>
    </w:p>
    <w:p w:rsidR="00C51B39" w:rsidRDefault="00C51B39" w:rsidP="00C51B39">
      <w:pPr>
        <w:rPr>
          <w:rFonts w:ascii="Garamond" w:hAnsi="Garamond"/>
          <w:b/>
        </w:rPr>
      </w:pPr>
      <w:r>
        <w:rPr>
          <w:rFonts w:ascii="Garamond" w:hAnsi="Garamond"/>
        </w:rPr>
        <w:br w:type="page"/>
      </w:r>
      <w:r>
        <w:rPr>
          <w:rFonts w:ascii="Garamond" w:hAnsi="Garamond"/>
          <w:b/>
        </w:rPr>
        <w:lastRenderedPageBreak/>
        <w:t>Agnieszka Jaworska, “Respecting the Margins of Agency: Alzheimer’s Patients and the Capacity to Value”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In “Respecting the Margins of Agency: Alzheimer’s Patients and the Capacity to Value,” Agnieszka Jaworska addresses an important dilemma facing many people who care for people with Alzheimer’s disease: in making decisions about how to care for them, should we privilege their previously professed attitudes, or should we privilege the attitudes they currently profess. This dilemma becomes particularly pointed when the previously professed attitudes conflict with the currently professed ones. Jaworska argues that we shouldn’t necessarily privilege past attitudes over their present counterparts. This is because, Jaworska contends, Alzheimer’s patients, despite their diminishing capacities, are nevertheless capable of forming new critical interests, new </w:t>
      </w:r>
      <w:r>
        <w:rPr>
          <w:rFonts w:ascii="Garamond" w:hAnsi="Garamond"/>
          <w:i/>
        </w:rPr>
        <w:t>values</w:t>
      </w:r>
      <w:r>
        <w:rPr>
          <w:rFonts w:ascii="Garamond" w:hAnsi="Garamond"/>
        </w:rPr>
        <w:t>. And such values, Jaworska holds, carry special weight for our well-being and should be respected.</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Jaworska makes these points in dialogue with Ronald Dworkin, who argues that we should only privilege Alzheimer’s patients past critical interests, their past judgments about what is good, when determining how to care for them. Dworkin’s argument hinges on two claims. First, he claims that Alzheimer’s patients are incapable of having a sense of their life as a whole, and, second, he claims that having a sense of one’s life as a whole is essential to being able to form new critical interests. Jaworska argues against this latter claim.</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She begins by suggesting that we can understand critical interests as being one’s values. And then she goes on to argue that valuing does not require one have a sense of one’s life as a whole. Moreover, she argues, Alzheimer’s patients have the capacity to value.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To make these points, Jaworska provides an account of valuing’s key marks: (1) that one thinks one is correct in wanting what one values; (2) that achieving what one wants is tied up with one’s self-worth; and (3) that the importance of what one wants is, for oneself, independent of one’s own experience. She then goes on to adduce cases in which Alzheimer’s patients, who don’t have a sense of their lives as a whole, nevertheless exhibit these key marks. Jaworska also adduces evidence from neuroscience, arguing that, in Alzheimer’s patients, the parts of the brain associated with valuing deteriorate after the parts of the brain associated with having a sense of one’s life as a whole.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One’s critical interests—one’s </w:t>
      </w:r>
      <w:r>
        <w:rPr>
          <w:rFonts w:ascii="Garamond" w:hAnsi="Garamond"/>
          <w:i/>
        </w:rPr>
        <w:t>values</w:t>
      </w:r>
      <w:r>
        <w:rPr>
          <w:rFonts w:ascii="Garamond" w:hAnsi="Garamond"/>
        </w:rPr>
        <w:t>—are weighty when it comes to one’s well-being, and thus Jaworska holds that we should take seriously Alzheimer’s current critical interests, and not only their past critical interests, when making decisions concerning their welfare. Moreover, the capacity to value, which Jaworska argues that Alzheimer’s patients have, is the starting point of autonomy, and while Alzheimer’s patients may not be able to execute their values in practice, Jaworska holds, we should nevertheless respect them and, as caretakers, help them execute their values.</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rPr>
        <w:br w:type="page"/>
      </w:r>
      <w:r>
        <w:rPr>
          <w:rFonts w:ascii="Garamond" w:hAnsi="Garamond"/>
          <w:b/>
        </w:rPr>
        <w:lastRenderedPageBreak/>
        <w:t>Roderick M. Chisholm, “Human Freedom and the Self”</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article, Chisholm sets out what he takes to be the problem of human freedom and then develops his own response to the problem, which requires some fairly radical claims about the nature of the human person.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 problem of human freedom, according to Chisholm, is as follows: Humans are responsible agents, but this fact appears to conflict with both a deterministic view of human action and an indeterministic view of human action. So, it appears that we have no way to account for the fact that humans are responsible agents.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First, consider a deterministic view of human action. Chisholm thinks responsibility is incompatible with a view like this, because he thinks that, in the case of a man being responsible for firing a shot, responsibility requires that “there was a moment at which it was true, both that he could have fired the shot and also that he could have refrained from firing it.” But for this to be the case, the act cannot have been caused or determined by some event that was not under the man’s control.</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Second, responsibility appears to be incompatible with an indeterministic view of human action. Chisholm says, “If the act—the firing of the shot—was not caused at all, if it was fortuitous or capricious, happening so to speak out of the blue, then, presumably, no one—and nothing—was responsible for the act.” What, then, can we say? Should we give up responsibility?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Fortunately, Chisholm thinks that there is a </w:t>
      </w:r>
      <w:r>
        <w:rPr>
          <w:rFonts w:ascii="Garamond" w:hAnsi="Garamond"/>
          <w:i/>
        </w:rPr>
        <w:t xml:space="preserve">via media </w:t>
      </w:r>
      <w:r>
        <w:rPr>
          <w:rFonts w:ascii="Garamond" w:hAnsi="Garamond"/>
        </w:rPr>
        <w:t xml:space="preserve">between deterministic and indeterministic accounts of human action. His suggestion is that we move to a picture of causation according to which, sometimes, humans can cause events (as opposed to events causing other events). Or, in Chisholm’s terminology, we should say that not all the causation in the world is </w:t>
      </w:r>
      <w:r>
        <w:rPr>
          <w:rFonts w:ascii="Garamond" w:hAnsi="Garamond"/>
          <w:i/>
        </w:rPr>
        <w:t xml:space="preserve">transeunt </w:t>
      </w:r>
      <w:r>
        <w:rPr>
          <w:rFonts w:ascii="Garamond" w:hAnsi="Garamond"/>
        </w:rPr>
        <w:t xml:space="preserve">causation (between two events), but that some is </w:t>
      </w:r>
      <w:r>
        <w:rPr>
          <w:rFonts w:ascii="Garamond" w:hAnsi="Garamond"/>
          <w:i/>
        </w:rPr>
        <w:t xml:space="preserve">immanent </w:t>
      </w:r>
      <w:r>
        <w:rPr>
          <w:rFonts w:ascii="Garamond" w:hAnsi="Garamond"/>
        </w:rPr>
        <w:t>causation (between an agent and an event). In the immanent causation picture, the human agent does cause the action (so it is not an indeterministic picture), but the agent could have refrained, as well (so it is not a deterministic picture).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Chisholm goes on to consider two objections to this picture. First, someone might object as follows: We know that actions are actually caused by the goings-on in a person’s brain, and because some agent may not even be aware that he has a brain, that person certainly doesn’t </w:t>
      </w:r>
      <w:r>
        <w:rPr>
          <w:rFonts w:ascii="Garamond" w:hAnsi="Garamond"/>
          <w:i/>
        </w:rPr>
        <w:t xml:space="preserve">do </w:t>
      </w:r>
      <w:r>
        <w:rPr>
          <w:rFonts w:ascii="Garamond" w:hAnsi="Garamond"/>
        </w:rPr>
        <w:t>anything to his brain. But if he doesn’t do anything to his brain, then why not just say that it was some event in his brain that caused his action?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 reply to this objection relies on a distinction between “making something, A, happen,” and “doing A.” Chisholm thinks that we can’t infer from the fact that an agent doesn’t do anything to his brain that he doesn’t also make something happen in his brain. Although he may not intend the goings-on in his brain, nevertheless, by causing his action, he makes those particular goings-on occur.</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 second objection asks the following question: What is the difference between A’s just happening and the agent’s causing A to happen? In other words, what does immanent causation add to the picture?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Chisholm responds with two points. First, one thing that makes immanent causation different from A’s just happening is that in the first case, A was caused by the man, whereas in the second case, A had no cause at all. Chisholm acknowledges that this is not a particularly satisfying </w:t>
      </w:r>
      <w:r>
        <w:rPr>
          <w:rFonts w:ascii="Garamond" w:hAnsi="Garamond"/>
        </w:rPr>
        <w:lastRenderedPageBreak/>
        <w:t>response, but his second point has more force. He points out that this problem is not unique to the proponent of immanent causation and can be raised even against someone who thinks all causation is between events. We could ask, for example: What is the difference between saying that B happened and then A happened and saying that B’s happening was the cause of A’s happening?</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rPr>
        <w:br w:type="page"/>
      </w:r>
      <w:r>
        <w:rPr>
          <w:rFonts w:ascii="Garamond" w:hAnsi="Garamond"/>
          <w:b/>
        </w:rPr>
        <w:lastRenderedPageBreak/>
        <w:t>David Hume, “Of Liberty and Necessity”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classic selection, Hume treats the problem of reconciling liberty and necessity. Or, as we might cast the problem in contemporary terms, that of reconciling free will and determinism. Hume contends that the entire debate rests on mere terminological confusion, and that once we clear up the terminology, we will see that there is no tension between liberty and necessity at all.</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Hume first argues that everyone shares the same idea of necessity, an idea that is derived from the constant conjunction we observe in the operations of nature. We see that certain causes are always followed by certain effects in the physical world, and the same lesson can be transferred to apply to humans. The same motives always produce the same actions across cultures and centuries. Everyone has always recognized this and, therefore, has agreed about the doctrine of necessity. Why, then, have people disagreed about liberty?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Hume explains that because people don’t “feel” any connection between their motives and their actions, they thus conclude that their actions must not be the result of any sort of necessity. But this, according to Hume, is a conclusion that is much too hasty. The real way to view liberty is merely as “a power of acting or not acting, according to the determinations of the will.” As Hume puts it, we have liberty just in case if we choose to remain at rest, we may, and if we choose to move, we may. Hume goes on to argue that liberty in this sense is not at all in conflict with necessity in the preceding sense.</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There are a few other arguments that Hume considers that also lead him to the conclusion that liberty and necessity can indeed be reconciled.</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br w:type="page"/>
      </w:r>
      <w:r>
        <w:rPr>
          <w:rFonts w:ascii="Garamond" w:hAnsi="Garamond"/>
          <w:b/>
        </w:rPr>
        <w:lastRenderedPageBreak/>
        <w:t>Harry G. Frankfurt, “Alternate Possibilities and Moral Responsibility”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article, Frankfurt mounts an attack against a (once) widely held principle about moral responsibility, the principle of alternate possibilities (PAP). As Frankfurt formulates it, PAP runs as follows: A person is morally responsible for what he has done only if he could have done otherwise. Frankfurt thinks this principle is false, and his attack proceeds as follows.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Consider the case of Jones. Frankfurt describes the case as follows: “Jones decides for reasons of his own to do something; then someone threatens him with a very harsh penalty (so harsh that any reasonable person would submit to the threat) unless he does precisely that, and Jones does it.” Now, Frankfurt asks, is Jones morally responsible for what he has done? Our answer to this question is so far underdetermined by the description of the case. Each way we might fill out the details of the scenario will issue in a particular judgment.</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First, say that the threat had no force on Jones whatsoever. (Frankfurt calls this man Jones</w:t>
      </w:r>
      <w:r>
        <w:rPr>
          <w:rFonts w:ascii="Garamond" w:hAnsi="Garamond"/>
          <w:vertAlign w:val="subscript"/>
        </w:rPr>
        <w:t>1</w:t>
      </w:r>
      <w:r>
        <w:rPr>
          <w:rFonts w:ascii="Garamond" w:hAnsi="Garamond"/>
        </w:rPr>
        <w:t>.) In this case, Jones</w:t>
      </w:r>
      <w:r>
        <w:rPr>
          <w:rFonts w:ascii="Garamond" w:hAnsi="Garamond"/>
          <w:vertAlign w:val="subscript"/>
        </w:rPr>
        <w:t>1</w:t>
      </w:r>
      <w:r>
        <w:rPr>
          <w:rFonts w:ascii="Garamond" w:hAnsi="Garamond"/>
        </w:rPr>
        <w:t xml:space="preserve"> is not coerced at all. He is morally responsible for what he has done, and he has alternative possibilities. This case matches up with PAP so far.</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Second, say that the threat was so alarming to Jones that he completely forgot his initial intentions of performing the action, and he goes on to perform the action solely because of the threat. (Frankfurt calls this man Jones</w:t>
      </w:r>
      <w:r>
        <w:rPr>
          <w:rFonts w:ascii="Garamond" w:hAnsi="Garamond"/>
          <w:vertAlign w:val="subscript"/>
        </w:rPr>
        <w:t>2</w:t>
      </w:r>
      <w:r>
        <w:rPr>
          <w:rFonts w:ascii="Garamond" w:hAnsi="Garamond"/>
        </w:rPr>
        <w:t>.) In this case, Jones</w:t>
      </w:r>
      <w:r>
        <w:rPr>
          <w:rFonts w:ascii="Garamond" w:hAnsi="Garamond"/>
          <w:vertAlign w:val="subscript"/>
        </w:rPr>
        <w:t>2</w:t>
      </w:r>
      <w:r>
        <w:rPr>
          <w:rFonts w:ascii="Garamond" w:hAnsi="Garamond"/>
        </w:rPr>
        <w:t xml:space="preserve"> is coerced. He is not morally responsible for what he has done, and he has no alternative possibilities. Again, this case matches our intuitions about PAP.</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Now comes the tough case. In the case of Jones</w:t>
      </w:r>
      <w:r>
        <w:rPr>
          <w:rFonts w:ascii="Garamond" w:hAnsi="Garamond"/>
          <w:vertAlign w:val="subscript"/>
        </w:rPr>
        <w:t>3</w:t>
      </w:r>
      <w:r>
        <w:rPr>
          <w:rFonts w:ascii="Garamond" w:hAnsi="Garamond"/>
        </w:rPr>
        <w:t>, the threat had some effect on Jones</w:t>
      </w:r>
      <w:r>
        <w:rPr>
          <w:rFonts w:ascii="Garamond" w:hAnsi="Garamond"/>
          <w:vertAlign w:val="subscript"/>
        </w:rPr>
        <w:t>3</w:t>
      </w:r>
      <w:r>
        <w:rPr>
          <w:rFonts w:ascii="Garamond" w:hAnsi="Garamond"/>
        </w:rPr>
        <w:t>, but not very much. More specifically, the threat affects Jones</w:t>
      </w:r>
      <w:r>
        <w:rPr>
          <w:rFonts w:ascii="Garamond" w:hAnsi="Garamond"/>
          <w:vertAlign w:val="subscript"/>
        </w:rPr>
        <w:t>3</w:t>
      </w:r>
      <w:r>
        <w:rPr>
          <w:rFonts w:ascii="Garamond" w:hAnsi="Garamond"/>
        </w:rPr>
        <w:t xml:space="preserve"> as follows: In the actual course of events, Jones</w:t>
      </w:r>
      <w:r>
        <w:rPr>
          <w:rFonts w:ascii="Garamond" w:hAnsi="Garamond"/>
          <w:vertAlign w:val="subscript"/>
        </w:rPr>
        <w:t>3</w:t>
      </w:r>
      <w:r>
        <w:rPr>
          <w:rFonts w:ascii="Garamond" w:hAnsi="Garamond"/>
        </w:rPr>
        <w:t xml:space="preserve"> is not alarmed by the threat, and he continues to perform the action for his own reasons. However, had he not already made the decision to perform the action, he would have been so alarmed by the threat that he would have submitted. In this case, Frankfurt maintains, Jones</w:t>
      </w:r>
      <w:r>
        <w:rPr>
          <w:rFonts w:ascii="Garamond" w:hAnsi="Garamond"/>
          <w:vertAlign w:val="subscript"/>
        </w:rPr>
        <w:t>3</w:t>
      </w:r>
      <w:r>
        <w:rPr>
          <w:rFonts w:ascii="Garamond" w:hAnsi="Garamond"/>
        </w:rPr>
        <w:t xml:space="preserve"> is morally responsible for what he has done, and he does </w:t>
      </w:r>
      <w:r>
        <w:rPr>
          <w:rFonts w:ascii="Garamond" w:hAnsi="Garamond"/>
          <w:i/>
        </w:rPr>
        <w:t>not</w:t>
      </w:r>
      <w:r>
        <w:rPr>
          <w:rFonts w:ascii="Garamond" w:hAnsi="Garamond"/>
        </w:rPr>
        <w:t xml:space="preserve"> have alternative possibilities.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These considerations lead Frankfurt to conclude that the case of Jones</w:t>
      </w:r>
      <w:r>
        <w:rPr>
          <w:rFonts w:ascii="Garamond" w:hAnsi="Garamond"/>
          <w:vertAlign w:val="subscript"/>
        </w:rPr>
        <w:t>3</w:t>
      </w:r>
      <w:r>
        <w:rPr>
          <w:rFonts w:ascii="Garamond" w:hAnsi="Garamond"/>
        </w:rPr>
        <w:t xml:space="preserve"> is a straightforward counterexample to PAP. But he anticipates an objection that runs as follows: There is a sense in which Jones</w:t>
      </w:r>
      <w:r>
        <w:rPr>
          <w:rFonts w:ascii="Garamond" w:hAnsi="Garamond"/>
          <w:vertAlign w:val="subscript"/>
        </w:rPr>
        <w:t>3</w:t>
      </w:r>
      <w:r>
        <w:rPr>
          <w:rFonts w:ascii="Garamond" w:hAnsi="Garamond"/>
        </w:rPr>
        <w:t xml:space="preserve"> cannot do otherwise than perform the action, but this sense doesn’t tell us anything about whether he has alternative possibilities. After all, just because he has been threatened doesn’t mean that he </w:t>
      </w:r>
      <w:r>
        <w:rPr>
          <w:rFonts w:ascii="Garamond" w:hAnsi="Garamond"/>
          <w:i/>
        </w:rPr>
        <w:t>can’t</w:t>
      </w:r>
      <w:r>
        <w:rPr>
          <w:rFonts w:ascii="Garamond" w:hAnsi="Garamond"/>
        </w:rPr>
        <w:t xml:space="preserve"> do otherwise—it just means that the consequences of his doing otherwise will be bad.</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But Frankfurt thinks he can avoid the objection by reformulating the case of Jones. Consider now Jones</w:t>
      </w:r>
      <w:r>
        <w:rPr>
          <w:rFonts w:ascii="Garamond" w:hAnsi="Garamond"/>
          <w:vertAlign w:val="subscript"/>
        </w:rPr>
        <w:t>4</w:t>
      </w:r>
      <w:r>
        <w:rPr>
          <w:rFonts w:ascii="Garamond" w:hAnsi="Garamond"/>
        </w:rPr>
        <w:t>. Let Black be the person who would issue the threat to Jones</w:t>
      </w:r>
      <w:r>
        <w:rPr>
          <w:rFonts w:ascii="Garamond" w:hAnsi="Garamond"/>
          <w:vertAlign w:val="subscript"/>
        </w:rPr>
        <w:t>4</w:t>
      </w:r>
      <w:r>
        <w:rPr>
          <w:rFonts w:ascii="Garamond" w:hAnsi="Garamond"/>
        </w:rPr>
        <w:t xml:space="preserve">, but instead of having Black actually threaten Jones, let Black be a mere </w:t>
      </w:r>
      <w:r>
        <w:rPr>
          <w:rFonts w:ascii="Garamond" w:hAnsi="Garamond"/>
          <w:i/>
        </w:rPr>
        <w:t>counterfactual intervener</w:t>
      </w:r>
      <w:r>
        <w:rPr>
          <w:rFonts w:ascii="Garamond" w:hAnsi="Garamond"/>
        </w:rPr>
        <w:t>. That is, let Black monitor Jones</w:t>
      </w:r>
      <w:r>
        <w:rPr>
          <w:rFonts w:ascii="Garamond" w:hAnsi="Garamond"/>
          <w:vertAlign w:val="subscript"/>
        </w:rPr>
        <w:t>4</w:t>
      </w:r>
      <w:r>
        <w:rPr>
          <w:rFonts w:ascii="Garamond" w:hAnsi="Garamond"/>
        </w:rPr>
        <w:t>’s brain (or in some other way predict what Jones</w:t>
      </w:r>
      <w:r>
        <w:rPr>
          <w:rFonts w:ascii="Garamond" w:hAnsi="Garamond"/>
          <w:vertAlign w:val="subscript"/>
        </w:rPr>
        <w:t>4</w:t>
      </w:r>
      <w:r>
        <w:rPr>
          <w:rFonts w:ascii="Garamond" w:hAnsi="Garamond"/>
        </w:rPr>
        <w:t xml:space="preserve"> will do), and only step in if Jones</w:t>
      </w:r>
      <w:r>
        <w:rPr>
          <w:rFonts w:ascii="Garamond" w:hAnsi="Garamond"/>
          <w:vertAlign w:val="subscript"/>
        </w:rPr>
        <w:t>4</w:t>
      </w:r>
      <w:r>
        <w:rPr>
          <w:rFonts w:ascii="Garamond" w:hAnsi="Garamond"/>
        </w:rPr>
        <w:t xml:space="preserve"> is about to decide to do whatever Black does not want him to do. As the case actually plays out, Jones</w:t>
      </w:r>
      <w:r>
        <w:rPr>
          <w:rFonts w:ascii="Garamond" w:hAnsi="Garamond"/>
          <w:vertAlign w:val="subscript"/>
        </w:rPr>
        <w:t>4</w:t>
      </w:r>
      <w:r>
        <w:rPr>
          <w:rFonts w:ascii="Garamond" w:hAnsi="Garamond"/>
        </w:rPr>
        <w:t xml:space="preserve"> does what Black wanted him to do, so Black never has to step in. But Black was nevertheless poised so that it is nevertheless true that Jones</w:t>
      </w:r>
      <w:r>
        <w:rPr>
          <w:rFonts w:ascii="Garamond" w:hAnsi="Garamond"/>
          <w:vertAlign w:val="subscript"/>
        </w:rPr>
        <w:t>4</w:t>
      </w:r>
      <w:r>
        <w:rPr>
          <w:rFonts w:ascii="Garamond" w:hAnsi="Garamond"/>
        </w:rPr>
        <w:t xml:space="preserve"> cannot do otherwise. In this case, Frankfurt maintains, Jones</w:t>
      </w:r>
      <w:r>
        <w:rPr>
          <w:rFonts w:ascii="Garamond" w:hAnsi="Garamond"/>
          <w:vertAlign w:val="subscript"/>
        </w:rPr>
        <w:t>4</w:t>
      </w:r>
      <w:r>
        <w:rPr>
          <w:rFonts w:ascii="Garamond" w:hAnsi="Garamond"/>
        </w:rPr>
        <w:t xml:space="preserve"> is morally responsible even though he has no alternative possibilities.</w:t>
      </w:r>
    </w:p>
    <w:p w:rsidR="00C51B39" w:rsidRDefault="00C51B39" w:rsidP="00C51B39">
      <w:pPr>
        <w:rPr>
          <w:rFonts w:ascii="Garamond" w:hAnsi="Garamond"/>
          <w:b/>
        </w:rPr>
      </w:pPr>
      <w:r>
        <w:rPr>
          <w:rFonts w:ascii="Garamond" w:hAnsi="Garamond"/>
        </w:rPr>
        <w:br w:type="page"/>
      </w:r>
      <w:r>
        <w:rPr>
          <w:rFonts w:ascii="Garamond" w:hAnsi="Garamond"/>
          <w:b/>
        </w:rPr>
        <w:lastRenderedPageBreak/>
        <w:t>John Martin Fischer, “Responsiveness and Moral Responsibility”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“Responsiveness and Moral Responsibility,” John Martin Fischer sketches an account of moral responsibility according to which an agent is morally responsible only if she is capable of responding to reasons. He begins by considering a famous case, viz., “Frankfurt-type” cases. In these cases, an agent putatively lacks the ability to do otherwise (i.e., alternative possibilities) and yet, intuitively, she is morally responsible for her action. These cases have led Fischer to conclude that moral responsibility doesn’t depend on an alternative sequence—i.e., how things could have gone—but instead, an agent’s being morally responsible depends on the actual sequence—that is, how things actually go.</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 xml:space="preserve">According to Fischer’s actual-sequence theory of moral responsibility, an agent is morally responsible for her actions only if, in the actual sequence, she is reasons-responsive. Fischer distinguishes between two forms of reasons-responsiveness: strong and weak. But he concludes that only the weak form of reasons-responsiveness is necessary for moral responsibility. Fischer further explicates weak reasons-responsiveness by comparing it to accounts of knowledge according to which an agent knows that </w:t>
      </w:r>
      <w:r>
        <w:rPr>
          <w:rFonts w:ascii="Garamond" w:hAnsi="Garamond"/>
          <w:i/>
        </w:rPr>
        <w:t>p</w:t>
      </w:r>
      <w:r>
        <w:rPr>
          <w:rFonts w:ascii="Garamond" w:hAnsi="Garamond"/>
        </w:rPr>
        <w:t xml:space="preserve"> only if her belief is sensitive to the truth in a particular kind of way. Similarly, an agent is morally responsible for her action only if the mechanism that her action issues from is sensitive to the reasons for action in a particular kind of way.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Fischer concludes by exploring what he calls “semicompatibilism.” Semicompatibilism takes seriously the argument that the freedom to do otherwise is incompatible with causal determinism. But it also takes seriously the insights that Fischer has developed in this paper, viz., that moral responsibility is an actual sequence property and therefore does not require the freedom to do otherwise. Thus, according to Fischer, the truth of determinism would not rule out moral responsibility because determinism is no threat to weak reasons-responsiveness.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b/>
        </w:rPr>
        <w:br w:type="page"/>
      </w:r>
      <w:r>
        <w:rPr>
          <w:rFonts w:ascii="Garamond" w:hAnsi="Garamond"/>
          <w:b/>
        </w:rPr>
        <w:lastRenderedPageBreak/>
        <w:t>Harry G. Frankfurt, “Freedom of the Will and the Concept of a Person”</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In this important article, Harry Frankfurt gives some intriguing reflections about persons, the will, and freedom. He develops a subtle account of the hierarchical structure of a person’s will and relates that account to various problems concerning freedom and moral responsibility.</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Frankfurt begins by asking, “What is a person?” Although many answers suggest themselves, Frankfurt thinks there is one specific characteristic that can serve to distinguish persons from nonpersons: the hierarchical structure of a person’s will. Persons, as Frankfurt understands them, are beings that have second-order desires. That is, persons are capable not only of wanting to do certain things but also of wanting to want to do certain things.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But it is not enough to be a person merely to have second-order desires, according to Frankfurt. You must also have some second-order volitions. A second-order volition is a second-order desire that a particular first-order desire will motivate the agent to action. All and only beings with second-order volitions, in this sense, are persons.</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To illustrate the idea of a second-order volition, Frankfurt gives the case of the willing addict and the case of the unwilling addict. Both addicts have first-order desires to take the drug that eventually motivate them to, in fact, take the drug. But whereas the willing addict wants those desires to motivate him, the unwilling addict does not want those desires to motivate him.</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Moreover, all and only beings with second-order volitions have free will, according to Frankfurt. To be free with respect to an action is to be able to do what you want to do. But to be free with respect to your will is to be able to will what you want to will. Only beings with second-order volitions can have this further characteristic.</w:t>
      </w:r>
    </w:p>
    <w:p w:rsidR="00C51B39" w:rsidRDefault="00C51B39" w:rsidP="00C51B39">
      <w:pPr>
        <w:rPr>
          <w:rFonts w:ascii="Garamond" w:hAnsi="Garamond"/>
        </w:rPr>
      </w:pPr>
    </w:p>
    <w:p w:rsidR="00C51B39" w:rsidRDefault="00C51B39" w:rsidP="00C51B39">
      <w:pPr>
        <w:rPr>
          <w:rFonts w:ascii="Garamond" w:hAnsi="Garamond"/>
        </w:rPr>
      </w:pPr>
      <w:r>
        <w:rPr>
          <w:rFonts w:ascii="Garamond" w:hAnsi="Garamond"/>
        </w:rPr>
        <w:t>Frankfurt goes on to apply these notions to various cases and draws some interesting conclusions about moral responsibility and determinism.</w:t>
      </w:r>
    </w:p>
    <w:p w:rsidR="00C51B39" w:rsidRDefault="00C51B39" w:rsidP="00C51B39">
      <w:pPr>
        <w:rPr>
          <w:rFonts w:ascii="Garamond" w:hAnsi="Garamond"/>
        </w:rPr>
      </w:pPr>
    </w:p>
    <w:p w:rsidR="00C51B39" w:rsidRDefault="00C51B39" w:rsidP="00C51B39">
      <w:pPr>
        <w:rPr>
          <w:rFonts w:ascii="Garamond" w:hAnsi="Garamond"/>
          <w:b/>
        </w:rPr>
      </w:pPr>
      <w:r>
        <w:rPr>
          <w:rFonts w:ascii="Garamond" w:hAnsi="Garamond"/>
          <w:b/>
        </w:rPr>
        <w:br w:type="page"/>
      </w:r>
      <w:r>
        <w:rPr>
          <w:rFonts w:ascii="Garamond" w:hAnsi="Garamond"/>
          <w:b/>
        </w:rPr>
        <w:lastRenderedPageBreak/>
        <w:t>Gary Watson, “Free Agency”</w:t>
      </w:r>
    </w:p>
    <w:p w:rsidR="00C51B39" w:rsidRDefault="00C51B39" w:rsidP="00C51B39">
      <w:pPr>
        <w:rPr>
          <w:rFonts w:ascii="Garamond" w:hAnsi="Garamond"/>
        </w:rPr>
      </w:pPr>
    </w:p>
    <w:p w:rsidR="00C51B39" w:rsidRDefault="00C51B39" w:rsidP="00C51B39">
      <w:pPr>
        <w:rPr>
          <w:rFonts w:ascii="Garamond" w:hAnsi="Garamond"/>
          <w:szCs w:val="24"/>
        </w:rPr>
      </w:pPr>
      <w:r>
        <w:rPr>
          <w:rFonts w:ascii="Garamond" w:hAnsi="Garamond"/>
          <w:szCs w:val="24"/>
        </w:rPr>
        <w:t>A person is generally thought to be free when she is able to do or get what she wants. This conception of freedom faces a problem, though. Namely, we are often inclined to say that a person isn’t free when she is not in control of her own actions, despite the fact that her behavior is intentional. For example, consider compulsive agents—like kleptomaniacs or people with phobias. In “Free Agency,” Gary Watson offers an account of agency that is meant to explain why such agents are unfree, without compromising our ordinary thoughts about freedom. Moreover, this account shows that whether an action is free or unfree has nothing to do with the truth or falsity of determinism.</w:t>
      </w:r>
    </w:p>
    <w:p w:rsidR="00C51B39" w:rsidRDefault="00C51B39" w:rsidP="00C51B39">
      <w:pPr>
        <w:rPr>
          <w:rFonts w:ascii="Garamond" w:hAnsi="Garamond"/>
          <w:szCs w:val="24"/>
        </w:rPr>
      </w:pPr>
    </w:p>
    <w:p w:rsidR="00C51B39" w:rsidRDefault="00C51B39" w:rsidP="00C51B39">
      <w:pPr>
        <w:rPr>
          <w:rFonts w:ascii="Garamond" w:hAnsi="Garamond"/>
          <w:szCs w:val="24"/>
        </w:rPr>
      </w:pPr>
      <w:r>
        <w:rPr>
          <w:rFonts w:ascii="Garamond" w:hAnsi="Garamond"/>
          <w:szCs w:val="24"/>
        </w:rPr>
        <w:t>Watson distinguishes between two classical ways of conceiving of practical reasoning. On the Humean model, Reason is distinguished from Passion, and Reason serves an instrumental purpose, whereas Passion is a source of motivation. Alternatively, on a Platonic model, Reason is distinguished from Appetite, and both serve as sources of motivation. Watson takes himself to be offering a Platonic model.</w:t>
      </w:r>
    </w:p>
    <w:p w:rsidR="00C51B39" w:rsidRDefault="00C51B39" w:rsidP="00C51B39">
      <w:pPr>
        <w:rPr>
          <w:rFonts w:ascii="Garamond" w:hAnsi="Garamond"/>
          <w:szCs w:val="24"/>
        </w:rPr>
      </w:pPr>
    </w:p>
    <w:p w:rsidR="00C51B39" w:rsidRDefault="00C51B39" w:rsidP="00C51B39">
      <w:pPr>
        <w:rPr>
          <w:rFonts w:ascii="Garamond" w:hAnsi="Garamond"/>
          <w:szCs w:val="24"/>
        </w:rPr>
      </w:pPr>
      <w:r>
        <w:rPr>
          <w:rFonts w:ascii="Garamond" w:hAnsi="Garamond"/>
          <w:szCs w:val="24"/>
        </w:rPr>
        <w:t>For Watson, we have two “systems.” Our valuational system represents our practical standpoint—our agential identity. This system issues in judgments about what the best thing, overall, to do is. It overlaps partly with our motivational system, which represents the set of considerations that move us. Particularly, our actions are free when these systems are in harmony. However, we have different sources of motivation, not all of them part of our valuational system. And when we are moved by these other sources of motivations—appetitive desires, emotions, desires we’ve acquired from acculturation—our actions are unfree.</w:t>
      </w:r>
    </w:p>
    <w:p w:rsidR="00C51B39" w:rsidRDefault="00C51B39" w:rsidP="00C51B39">
      <w:pPr>
        <w:rPr>
          <w:rFonts w:ascii="Garamond" w:hAnsi="Garamond"/>
          <w:szCs w:val="24"/>
        </w:rPr>
      </w:pPr>
    </w:p>
    <w:p w:rsidR="00C51B39" w:rsidRDefault="00C51B39" w:rsidP="00C51B39">
      <w:pPr>
        <w:rPr>
          <w:rFonts w:ascii="Garamond" w:hAnsi="Garamond"/>
          <w:szCs w:val="24"/>
        </w:rPr>
      </w:pPr>
      <w:r>
        <w:rPr>
          <w:rFonts w:ascii="Garamond" w:hAnsi="Garamond"/>
          <w:szCs w:val="24"/>
        </w:rPr>
        <w:t>In the last part of his paper, Watson offers a criticism of Harry Frankfurt’s famous article, “Freedom of the Will and the Concept of a Person.” For Frankfurt, free action is a matter of forming second-order volitions—desires about our first-order desires’ efficacy. Watson notes, though, that a second-order volition is just a desire, like any first-order desire. It is unclear, then, why a second-order volition has any authority. Why, that is, are we identified with our second-order volitions and not our first-order desires? There is no principled difference between the two. Watson suggests that valuing serves the role better.</w:t>
      </w:r>
    </w:p>
    <w:p w:rsidR="00C51B39" w:rsidRDefault="00C51B39" w:rsidP="00C51B39">
      <w:pPr>
        <w:rPr>
          <w:rFonts w:ascii="Garamond" w:hAnsi="Garamond"/>
          <w:szCs w:val="24"/>
        </w:rPr>
      </w:pPr>
    </w:p>
    <w:p w:rsidR="00C51B39" w:rsidRDefault="00C51B39" w:rsidP="00C51B39">
      <w:pPr>
        <w:rPr>
          <w:rFonts w:ascii="Garamond" w:hAnsi="Garamond"/>
          <w:b/>
        </w:rPr>
      </w:pPr>
      <w:r>
        <w:rPr>
          <w:rFonts w:ascii="Garamond" w:hAnsi="Garamond"/>
          <w:b/>
        </w:rPr>
        <w:br w:type="page"/>
      </w:r>
      <w:r>
        <w:rPr>
          <w:rFonts w:ascii="Garamond" w:hAnsi="Garamond"/>
          <w:b/>
        </w:rPr>
        <w:lastRenderedPageBreak/>
        <w:t>Christian Helmut Wenzel, “Free Will and Zhuangzi: An Introduction”</w:t>
      </w:r>
    </w:p>
    <w:p w:rsidR="00C51B39" w:rsidRDefault="00C51B39" w:rsidP="00C51B39">
      <w:pPr>
        <w:rPr>
          <w:rFonts w:ascii="Garamond" w:hAnsi="Garamond"/>
        </w:rPr>
      </w:pPr>
    </w:p>
    <w:p w:rsidR="00C51B39" w:rsidRDefault="00C51B39" w:rsidP="00C51B39">
      <w:pPr>
        <w:rPr>
          <w:rFonts w:ascii="Garamond" w:hAnsi="Garamond"/>
          <w:bCs/>
        </w:rPr>
      </w:pPr>
      <w:r>
        <w:rPr>
          <w:rFonts w:ascii="Garamond" w:hAnsi="Garamond"/>
          <w:bCs/>
        </w:rPr>
        <w:t xml:space="preserve">In this commissioned piece, Christian Wenzel focuses on the ancient Chinese text, the </w:t>
      </w:r>
      <w:r>
        <w:rPr>
          <w:rFonts w:ascii="Garamond" w:hAnsi="Garamond"/>
          <w:bCs/>
          <w:i/>
          <w:iCs/>
        </w:rPr>
        <w:t>Zhuangzi</w:t>
      </w:r>
      <w:r>
        <w:rPr>
          <w:rFonts w:ascii="Garamond" w:hAnsi="Garamond"/>
          <w:bCs/>
        </w:rPr>
        <w:t xml:space="preserve">, and how it relates to contemporary themes in free will. Wenzel argues that the </w:t>
      </w:r>
      <w:r>
        <w:rPr>
          <w:rFonts w:ascii="Garamond" w:hAnsi="Garamond"/>
          <w:bCs/>
          <w:i/>
          <w:iCs/>
        </w:rPr>
        <w:t xml:space="preserve">Zhuangzi </w:t>
      </w:r>
      <w:r>
        <w:rPr>
          <w:rFonts w:ascii="Garamond" w:hAnsi="Garamond"/>
          <w:bCs/>
        </w:rPr>
        <w:t>is both surprising and illuminating when contrasted with contemporary work.</w:t>
      </w:r>
    </w:p>
    <w:p w:rsidR="00C51B39" w:rsidRDefault="00C51B39" w:rsidP="00C51B39">
      <w:pPr>
        <w:rPr>
          <w:rFonts w:ascii="Garamond" w:hAnsi="Garamond"/>
          <w:bCs/>
        </w:rPr>
      </w:pPr>
    </w:p>
    <w:p w:rsidR="00C51B39" w:rsidRDefault="00C51B39" w:rsidP="00C51B39">
      <w:pPr>
        <w:rPr>
          <w:rFonts w:ascii="Garamond" w:hAnsi="Garamond"/>
          <w:bCs/>
        </w:rPr>
      </w:pPr>
      <w:r>
        <w:rPr>
          <w:rFonts w:ascii="Garamond" w:hAnsi="Garamond"/>
          <w:bCs/>
        </w:rPr>
        <w:t>Wenzel focuses on five notions from the contemporary literature: (1) the freedom to do otherwise; (2) authorship; (3) being responsive to reasons; (4) control; and (5) moral responsibility.</w:t>
      </w:r>
    </w:p>
    <w:p w:rsidR="00C51B39" w:rsidRDefault="00C51B39" w:rsidP="00C51B39">
      <w:pPr>
        <w:rPr>
          <w:rFonts w:ascii="Garamond" w:hAnsi="Garamond"/>
          <w:bCs/>
        </w:rPr>
      </w:pPr>
    </w:p>
    <w:p w:rsidR="00C51B39" w:rsidRDefault="00C51B39" w:rsidP="00C51B39">
      <w:pPr>
        <w:rPr>
          <w:rFonts w:ascii="Garamond" w:hAnsi="Garamond"/>
          <w:bCs/>
        </w:rPr>
      </w:pPr>
      <w:r>
        <w:rPr>
          <w:rFonts w:ascii="Garamond" w:hAnsi="Garamond"/>
          <w:bCs/>
        </w:rPr>
        <w:t xml:space="preserve">Interestingly, (1) hardly shows up, if at all, in the </w:t>
      </w:r>
      <w:r>
        <w:rPr>
          <w:rFonts w:ascii="Garamond" w:hAnsi="Garamond"/>
          <w:bCs/>
          <w:i/>
          <w:iCs/>
        </w:rPr>
        <w:t>Zhuangzi</w:t>
      </w:r>
      <w:r>
        <w:rPr>
          <w:rFonts w:ascii="Garamond" w:hAnsi="Garamond"/>
          <w:bCs/>
        </w:rPr>
        <w:t xml:space="preserve">, while the other four appear in some ways, but often in different contexts than is typical of the contemporary literature. As Wenzel shows, a central theme of the </w:t>
      </w:r>
      <w:r>
        <w:rPr>
          <w:rFonts w:ascii="Garamond" w:hAnsi="Garamond"/>
          <w:bCs/>
          <w:i/>
          <w:iCs/>
        </w:rPr>
        <w:t xml:space="preserve">Zhuangzi </w:t>
      </w:r>
      <w:r>
        <w:rPr>
          <w:rFonts w:ascii="Garamond" w:hAnsi="Garamond"/>
          <w:bCs/>
        </w:rPr>
        <w:t xml:space="preserve">is the idea of spontaneity—that instead of engaging in reflective deliberation, say, to express one’s agency, one ought to act skillfully but without much thought. A central example concerns that of an experienced woodworker, one that is able to carve a piece of wood in a masterful way and without any thought. Similarly, proclaims the </w:t>
      </w:r>
      <w:r>
        <w:rPr>
          <w:rFonts w:ascii="Garamond" w:hAnsi="Garamond"/>
          <w:bCs/>
          <w:i/>
          <w:iCs/>
        </w:rPr>
        <w:t xml:space="preserve">Zhuangzi¸ </w:t>
      </w:r>
      <w:r>
        <w:rPr>
          <w:rFonts w:ascii="Garamond" w:hAnsi="Garamond"/>
          <w:bCs/>
        </w:rPr>
        <w:t>so</w:t>
      </w:r>
      <w:r>
        <w:rPr>
          <w:rFonts w:ascii="Garamond" w:hAnsi="Garamond"/>
          <w:bCs/>
          <w:i/>
          <w:iCs/>
        </w:rPr>
        <w:t xml:space="preserve"> </w:t>
      </w:r>
      <w:r>
        <w:rPr>
          <w:rFonts w:ascii="Garamond" w:hAnsi="Garamond"/>
          <w:bCs/>
        </w:rPr>
        <w:t>we ought to act in our day to day lives.</w:t>
      </w:r>
    </w:p>
    <w:p w:rsidR="00C51B39" w:rsidRDefault="00C51B39" w:rsidP="00C51B39">
      <w:pPr>
        <w:rPr>
          <w:rFonts w:ascii="Garamond" w:hAnsi="Garamond"/>
          <w:bCs/>
        </w:rPr>
      </w:pPr>
    </w:p>
    <w:p w:rsidR="00C51B39" w:rsidRDefault="00C51B39" w:rsidP="00C51B39">
      <w:pPr>
        <w:rPr>
          <w:rFonts w:ascii="Garamond" w:hAnsi="Garamond"/>
          <w:bCs/>
        </w:rPr>
      </w:pPr>
      <w:r>
        <w:rPr>
          <w:rFonts w:ascii="Garamond" w:hAnsi="Garamond"/>
          <w:bCs/>
        </w:rPr>
        <w:t xml:space="preserve">With this in mind, the notions of (2), (3), (4), and (5) look quite different than in the contemporary literature. The notion of authorship, Wenzel claims, effectively disappears; the notion of being responsive to reasons is more appropriately understood as being responsive to situations; the notion of control is radically changed from one of an active sense to that of a passive one; and the notion of moral responsibility involves trusting what is natural or intuitive rather than what one can arrive at through reason and deliberation. In the end, Wenzel argues that these suggestions from the </w:t>
      </w:r>
      <w:r>
        <w:rPr>
          <w:rFonts w:ascii="Garamond" w:hAnsi="Garamond"/>
          <w:bCs/>
          <w:i/>
          <w:iCs/>
        </w:rPr>
        <w:t xml:space="preserve">Zhuangzi </w:t>
      </w:r>
      <w:r>
        <w:rPr>
          <w:rFonts w:ascii="Garamond" w:hAnsi="Garamond"/>
          <w:bCs/>
        </w:rPr>
        <w:t>are often insightful, although they aren’t without their problems.</w:t>
      </w:r>
    </w:p>
    <w:p w:rsidR="00DF70F9" w:rsidRPr="00D52D51" w:rsidRDefault="00DF70F9" w:rsidP="00C51B39"/>
    <w:sectPr w:rsidR="00DF70F9" w:rsidRPr="00D52D51" w:rsidSect="008F4C7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99" w:rsidRDefault="00052499" w:rsidP="00052499">
      <w:r>
        <w:separator/>
      </w:r>
    </w:p>
  </w:endnote>
  <w:endnote w:type="continuationSeparator" w:id="0">
    <w:p w:rsidR="00052499" w:rsidRDefault="00052499" w:rsidP="0005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44F" w:rsidRDefault="008D3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39" w:rsidRDefault="00C51B39" w:rsidP="00C51B39">
    <w:pPr>
      <w:pStyle w:val="Footer"/>
      <w:framePr w:wrap="around" w:vAnchor="text" w:hAnchor="margin" w:xAlign="right"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83</w:t>
    </w:r>
    <w:r>
      <w:rPr>
        <w:rStyle w:val="PageNumber"/>
        <w:sz w:val="20"/>
      </w:rPr>
      <w:fldChar w:fldCharType="end"/>
    </w:r>
  </w:p>
  <w:p w:rsidR="003F786E" w:rsidRPr="003F786E" w:rsidRDefault="003F786E">
    <w:pPr>
      <w:pStyle w:val="Footer"/>
      <w:rPr>
        <w:rFonts w:ascii="Arial" w:hAnsi="Arial" w:cs="Arial"/>
        <w:sz w:val="16"/>
        <w:szCs w:val="16"/>
      </w:rPr>
    </w:pPr>
    <w:bookmarkStart w:id="0" w:name="_GoBack"/>
    <w:bookmarkEnd w:id="0"/>
    <w:r w:rsidRPr="003F786E">
      <w:rPr>
        <w:rFonts w:ascii="Arial" w:hAnsi="Arial" w:cs="Arial"/>
        <w:sz w:val="16"/>
        <w:szCs w:val="16"/>
      </w:rPr>
      <w:t>© 202</w:t>
    </w:r>
    <w:r w:rsidR="008D344F">
      <w:rPr>
        <w:rFonts w:ascii="Arial" w:hAnsi="Arial" w:cs="Arial"/>
        <w:sz w:val="16"/>
        <w:szCs w:val="16"/>
      </w:rPr>
      <w:t>1</w:t>
    </w:r>
    <w:r w:rsidRPr="003F786E">
      <w:rPr>
        <w:rFonts w:ascii="Arial" w:hAnsi="Arial" w:cs="Arial"/>
        <w:sz w:val="16"/>
        <w:szCs w:val="16"/>
      </w:rPr>
      <w:t xml:space="preserve">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44F" w:rsidRDefault="008D3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99" w:rsidRDefault="00052499" w:rsidP="00052499">
      <w:r>
        <w:separator/>
      </w:r>
    </w:p>
  </w:footnote>
  <w:footnote w:type="continuationSeparator" w:id="0">
    <w:p w:rsidR="00052499" w:rsidRDefault="00052499" w:rsidP="0005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44F" w:rsidRDefault="008D3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44F" w:rsidRDefault="008D3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44F" w:rsidRDefault="008D3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F9"/>
    <w:rsid w:val="00052499"/>
    <w:rsid w:val="003F786E"/>
    <w:rsid w:val="005356D9"/>
    <w:rsid w:val="007C2941"/>
    <w:rsid w:val="008D344F"/>
    <w:rsid w:val="008F4C7E"/>
    <w:rsid w:val="009D54F2"/>
    <w:rsid w:val="00AA05F0"/>
    <w:rsid w:val="00C51B39"/>
    <w:rsid w:val="00C925B9"/>
    <w:rsid w:val="00D52D51"/>
    <w:rsid w:val="00DF70F9"/>
    <w:rsid w:val="00E32E37"/>
    <w:rsid w:val="00E34C3E"/>
    <w:rsid w:val="00FF0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E3B27D"/>
  <w15:chartTrackingRefBased/>
  <w15:docId w15:val="{723437A8-D8F4-4E67-81CF-23E2F0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0F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86E"/>
    <w:pPr>
      <w:tabs>
        <w:tab w:val="center" w:pos="4680"/>
        <w:tab w:val="right" w:pos="9360"/>
      </w:tabs>
    </w:pPr>
  </w:style>
  <w:style w:type="character" w:customStyle="1" w:styleId="HeaderChar">
    <w:name w:val="Header Char"/>
    <w:basedOn w:val="DefaultParagraphFont"/>
    <w:link w:val="Header"/>
    <w:uiPriority w:val="99"/>
    <w:rsid w:val="003F786E"/>
    <w:rPr>
      <w:rFonts w:ascii="Times New Roman" w:eastAsia="Times New Roman" w:hAnsi="Times New Roman" w:cs="Times New Roman"/>
      <w:sz w:val="24"/>
      <w:szCs w:val="20"/>
    </w:rPr>
  </w:style>
  <w:style w:type="paragraph" w:styleId="Footer">
    <w:name w:val="footer"/>
    <w:basedOn w:val="Normal"/>
    <w:link w:val="FooterChar"/>
    <w:unhideWhenUsed/>
    <w:rsid w:val="003F786E"/>
    <w:pPr>
      <w:tabs>
        <w:tab w:val="center" w:pos="4680"/>
        <w:tab w:val="right" w:pos="9360"/>
      </w:tabs>
    </w:pPr>
  </w:style>
  <w:style w:type="character" w:customStyle="1" w:styleId="FooterChar">
    <w:name w:val="Footer Char"/>
    <w:basedOn w:val="DefaultParagraphFont"/>
    <w:link w:val="Footer"/>
    <w:rsid w:val="003F786E"/>
    <w:rPr>
      <w:rFonts w:ascii="Times New Roman" w:eastAsia="Times New Roman" w:hAnsi="Times New Roman" w:cs="Times New Roman"/>
      <w:sz w:val="24"/>
      <w:szCs w:val="20"/>
    </w:rPr>
  </w:style>
  <w:style w:type="character" w:styleId="PageNumber">
    <w:name w:val="page number"/>
    <w:basedOn w:val="DefaultParagraphFont"/>
    <w:semiHidden/>
    <w:unhideWhenUsed/>
    <w:rsid w:val="00C5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6993">
      <w:bodyDiv w:val="1"/>
      <w:marLeft w:val="0"/>
      <w:marRight w:val="0"/>
      <w:marTop w:val="0"/>
      <w:marBottom w:val="0"/>
      <w:divBdr>
        <w:top w:val="none" w:sz="0" w:space="0" w:color="auto"/>
        <w:left w:val="none" w:sz="0" w:space="0" w:color="auto"/>
        <w:bottom w:val="none" w:sz="0" w:space="0" w:color="auto"/>
        <w:right w:val="none" w:sz="0" w:space="0" w:color="auto"/>
      </w:divBdr>
    </w:div>
    <w:div w:id="768891739">
      <w:bodyDiv w:val="1"/>
      <w:marLeft w:val="0"/>
      <w:marRight w:val="0"/>
      <w:marTop w:val="0"/>
      <w:marBottom w:val="0"/>
      <w:divBdr>
        <w:top w:val="none" w:sz="0" w:space="0" w:color="auto"/>
        <w:left w:val="none" w:sz="0" w:space="0" w:color="auto"/>
        <w:bottom w:val="none" w:sz="0" w:space="0" w:color="auto"/>
        <w:right w:val="none" w:sz="0" w:space="0" w:color="auto"/>
      </w:divBdr>
    </w:div>
    <w:div w:id="1185627929">
      <w:bodyDiv w:val="1"/>
      <w:marLeft w:val="0"/>
      <w:marRight w:val="0"/>
      <w:marTop w:val="0"/>
      <w:marBottom w:val="0"/>
      <w:divBdr>
        <w:top w:val="none" w:sz="0" w:space="0" w:color="auto"/>
        <w:left w:val="none" w:sz="0" w:space="0" w:color="auto"/>
        <w:bottom w:val="none" w:sz="0" w:space="0" w:color="auto"/>
        <w:right w:val="none" w:sz="0" w:space="0" w:color="auto"/>
      </w:divBdr>
    </w:div>
    <w:div w:id="19937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7867</Words>
  <Characters>44845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Suzanne</dc:creator>
  <cp:keywords/>
  <dc:description/>
  <cp:lastModifiedBy>Carter, Suzanne</cp:lastModifiedBy>
  <cp:revision>4</cp:revision>
  <dcterms:created xsi:type="dcterms:W3CDTF">2021-04-28T13:20:00Z</dcterms:created>
  <dcterms:modified xsi:type="dcterms:W3CDTF">2021-04-28T19:47:00Z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2021-04-01T14:56:26Z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25ff5b21-3b5d-4ef5-adc8-29886aed147b</vt:lpwstr>
  </property>
  <property fmtid="{D5CDD505-2E9C-101B-9397-08002B2CF9AE}" pid="8" name="MSIP_Label_be5cb09a-2992-49d6-8ac9-5f63e7b1ad2f_ContentBits">
    <vt:lpwstr>0</vt:lpwstr>
  </property>
</Properties>
</file>