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982788" w14:textId="77777777" w:rsidR="00A2171E" w:rsidRPr="006F3EE2" w:rsidRDefault="00A2171E" w:rsidP="006F3EE2">
      <w:pPr>
        <w:jc w:val="center"/>
        <w:rPr>
          <w:rFonts w:ascii="Palatino Linotype" w:hAnsi="Palatino Linotype"/>
          <w:sz w:val="20"/>
          <w:szCs w:val="20"/>
        </w:rPr>
      </w:pPr>
      <w:r w:rsidRPr="006F3EE2">
        <w:rPr>
          <w:rFonts w:ascii="Palatino Linotype" w:hAnsi="Palatino Linotype"/>
          <w:sz w:val="20"/>
          <w:szCs w:val="20"/>
        </w:rPr>
        <w:t>AMERICAN CONSTITUTIONALISM</w:t>
      </w:r>
    </w:p>
    <w:p w14:paraId="3E316C2A" w14:textId="77777777" w:rsidR="00A2171E" w:rsidRPr="006F3EE2" w:rsidRDefault="00A2171E" w:rsidP="006F3EE2">
      <w:pPr>
        <w:jc w:val="center"/>
        <w:rPr>
          <w:rFonts w:ascii="Palatino Linotype" w:hAnsi="Palatino Linotype"/>
          <w:sz w:val="20"/>
          <w:szCs w:val="20"/>
        </w:rPr>
      </w:pPr>
      <w:r w:rsidRPr="006F3EE2">
        <w:rPr>
          <w:rFonts w:ascii="Palatino Linotype" w:hAnsi="Palatino Linotype"/>
          <w:sz w:val="20"/>
          <w:szCs w:val="20"/>
        </w:rPr>
        <w:t>VOLUME I:  STRUCTURES OF GOVERNMENT</w:t>
      </w:r>
    </w:p>
    <w:p w14:paraId="090F6658" w14:textId="77777777" w:rsidR="00A2171E" w:rsidRPr="006F3EE2" w:rsidRDefault="00A2171E" w:rsidP="006F3EE2">
      <w:pPr>
        <w:jc w:val="center"/>
        <w:rPr>
          <w:rFonts w:ascii="Palatino Linotype" w:hAnsi="Palatino Linotype"/>
          <w:sz w:val="20"/>
          <w:szCs w:val="20"/>
        </w:rPr>
      </w:pPr>
      <w:r w:rsidRPr="006F3EE2">
        <w:rPr>
          <w:rFonts w:ascii="Palatino Linotype" w:hAnsi="Palatino Linotype"/>
          <w:sz w:val="20"/>
          <w:szCs w:val="20"/>
        </w:rPr>
        <w:t>Howard Gillman • Mark A. Graber • Keith E. Whittington</w:t>
      </w:r>
    </w:p>
    <w:p w14:paraId="2ED604B4" w14:textId="77777777" w:rsidR="00A2171E" w:rsidRPr="006F3EE2" w:rsidRDefault="00A2171E" w:rsidP="006F3EE2">
      <w:pPr>
        <w:jc w:val="center"/>
        <w:rPr>
          <w:rFonts w:ascii="Palatino Linotype" w:hAnsi="Palatino Linotype"/>
          <w:sz w:val="20"/>
          <w:szCs w:val="20"/>
        </w:rPr>
      </w:pPr>
    </w:p>
    <w:p w14:paraId="637F32D9" w14:textId="77777777" w:rsidR="00A2171E" w:rsidRPr="006F3EE2" w:rsidRDefault="00A2171E" w:rsidP="006F3EE2">
      <w:pPr>
        <w:jc w:val="center"/>
        <w:rPr>
          <w:rFonts w:ascii="Palatino Linotype" w:hAnsi="Palatino Linotype"/>
          <w:sz w:val="20"/>
          <w:szCs w:val="20"/>
        </w:rPr>
      </w:pPr>
      <w:r w:rsidRPr="006F3EE2">
        <w:rPr>
          <w:rFonts w:ascii="Palatino Linotype" w:hAnsi="Palatino Linotype"/>
          <w:sz w:val="20"/>
          <w:szCs w:val="20"/>
        </w:rPr>
        <w:t>Supplementary Material</w:t>
      </w:r>
    </w:p>
    <w:p w14:paraId="21CE9749" w14:textId="77777777" w:rsidR="00A2171E" w:rsidRPr="006F3EE2" w:rsidRDefault="00A2171E" w:rsidP="006F3EE2">
      <w:pPr>
        <w:jc w:val="center"/>
        <w:rPr>
          <w:rFonts w:ascii="Palatino Linotype" w:hAnsi="Palatino Linotype"/>
          <w:sz w:val="20"/>
          <w:szCs w:val="20"/>
        </w:rPr>
      </w:pPr>
    </w:p>
    <w:p w14:paraId="0D8E86F1" w14:textId="77777777" w:rsidR="00A2171E" w:rsidRPr="006F3EE2" w:rsidRDefault="00A2171E" w:rsidP="006F3EE2">
      <w:pPr>
        <w:jc w:val="center"/>
        <w:rPr>
          <w:rFonts w:ascii="Palatino Linotype" w:hAnsi="Palatino Linotype"/>
          <w:sz w:val="20"/>
          <w:szCs w:val="20"/>
        </w:rPr>
      </w:pPr>
      <w:r w:rsidRPr="006F3EE2">
        <w:rPr>
          <w:rFonts w:ascii="Palatino Linotype" w:hAnsi="Palatino Linotype"/>
          <w:sz w:val="20"/>
          <w:szCs w:val="20"/>
        </w:rPr>
        <w:t xml:space="preserve">Chapter </w:t>
      </w:r>
      <w:r w:rsidR="00F5052F" w:rsidRPr="006F3EE2">
        <w:rPr>
          <w:rFonts w:ascii="Palatino Linotype" w:hAnsi="Palatino Linotype"/>
          <w:sz w:val="20"/>
          <w:szCs w:val="20"/>
        </w:rPr>
        <w:t>7</w:t>
      </w:r>
      <w:r w:rsidRPr="006F3EE2">
        <w:rPr>
          <w:rFonts w:ascii="Palatino Linotype" w:hAnsi="Palatino Linotype"/>
          <w:sz w:val="20"/>
          <w:szCs w:val="20"/>
        </w:rPr>
        <w:t xml:space="preserve">:  The </w:t>
      </w:r>
      <w:r w:rsidR="00F5052F" w:rsidRPr="006F3EE2">
        <w:rPr>
          <w:rFonts w:ascii="Palatino Linotype" w:hAnsi="Palatino Linotype"/>
          <w:sz w:val="20"/>
          <w:szCs w:val="20"/>
        </w:rPr>
        <w:t>Republican</w:t>
      </w:r>
      <w:r w:rsidRPr="006F3EE2">
        <w:rPr>
          <w:rFonts w:ascii="Palatino Linotype" w:hAnsi="Palatino Linotype"/>
          <w:sz w:val="20"/>
          <w:szCs w:val="20"/>
        </w:rPr>
        <w:t xml:space="preserve"> Era – </w:t>
      </w:r>
      <w:r w:rsidR="007A4EE9" w:rsidRPr="006F3EE2">
        <w:rPr>
          <w:rFonts w:ascii="Palatino Linotype" w:hAnsi="Palatino Linotype"/>
          <w:sz w:val="20"/>
          <w:szCs w:val="20"/>
        </w:rPr>
        <w:t>Introduction</w:t>
      </w:r>
    </w:p>
    <w:p w14:paraId="2FDB809A" w14:textId="77777777" w:rsidR="00A2171E" w:rsidRPr="006F3EE2" w:rsidRDefault="00A2171E" w:rsidP="006F3EE2">
      <w:pPr>
        <w:jc w:val="center"/>
        <w:rPr>
          <w:rFonts w:ascii="Palatino Linotype" w:hAnsi="Palatino Linotype"/>
          <w:sz w:val="20"/>
          <w:szCs w:val="20"/>
        </w:rPr>
      </w:pPr>
    </w:p>
    <w:p w14:paraId="12E15E81" w14:textId="77777777" w:rsidR="00A2171E" w:rsidRPr="006F3EE2" w:rsidRDefault="00A2171E" w:rsidP="006F3EE2">
      <w:pPr>
        <w:jc w:val="both"/>
        <w:rPr>
          <w:rFonts w:ascii="Palatino Linotype" w:hAnsi="Palatino Linotype"/>
          <w:sz w:val="20"/>
          <w:szCs w:val="20"/>
        </w:rPr>
      </w:pPr>
    </w:p>
    <w:p w14:paraId="6AF32412" w14:textId="77777777" w:rsidR="00A2171E" w:rsidRPr="006F3EE2" w:rsidRDefault="006F3EE2" w:rsidP="006F3EE2">
      <w:pPr>
        <w:pBdr>
          <w:top w:val="single" w:sz="4" w:space="5" w:color="auto"/>
          <w:bottom w:val="single" w:sz="4" w:space="5" w:color="auto"/>
        </w:pBdr>
        <w:jc w:val="center"/>
        <w:rPr>
          <w:rFonts w:ascii="Palatino Linotype" w:hAnsi="Palatino Linotype"/>
          <w:sz w:val="20"/>
          <w:szCs w:val="20"/>
        </w:rPr>
      </w:pPr>
      <w:r w:rsidRPr="006F3EE2">
        <w:rPr>
          <w:rFonts w:ascii="Palatino Linotype" w:hAnsi="Palatino Linotype"/>
          <w:i/>
          <w:sz w:val="20"/>
          <w:szCs w:val="20"/>
        </w:rPr>
        <w:t>Woodrow Wilson</w:t>
      </w:r>
      <w:r w:rsidR="00A2171E" w:rsidRPr="006F3EE2">
        <w:rPr>
          <w:rFonts w:ascii="Palatino Linotype" w:hAnsi="Palatino Linotype"/>
          <w:sz w:val="20"/>
          <w:szCs w:val="20"/>
        </w:rPr>
        <w:t xml:space="preserve">, </w:t>
      </w:r>
      <w:r w:rsidR="00F5052F" w:rsidRPr="006F3EE2">
        <w:rPr>
          <w:rFonts w:ascii="Palatino Linotype" w:hAnsi="Palatino Linotype"/>
          <w:b/>
          <w:sz w:val="20"/>
          <w:szCs w:val="20"/>
        </w:rPr>
        <w:t xml:space="preserve">“The </w:t>
      </w:r>
      <w:r w:rsidRPr="006F3EE2">
        <w:rPr>
          <w:rFonts w:ascii="Palatino Linotype" w:hAnsi="Palatino Linotype"/>
          <w:b/>
          <w:sz w:val="20"/>
          <w:szCs w:val="20"/>
        </w:rPr>
        <w:t>Meaning of Democracy</w:t>
      </w:r>
      <w:r w:rsidR="00F5052F" w:rsidRPr="006F3EE2">
        <w:rPr>
          <w:rFonts w:ascii="Palatino Linotype" w:hAnsi="Palatino Linotype"/>
          <w:b/>
          <w:sz w:val="20"/>
          <w:szCs w:val="20"/>
        </w:rPr>
        <w:t>”</w:t>
      </w:r>
      <w:r w:rsidR="00A2171E" w:rsidRPr="006F3EE2">
        <w:rPr>
          <w:rFonts w:ascii="Palatino Linotype" w:hAnsi="Palatino Linotype"/>
          <w:sz w:val="20"/>
          <w:szCs w:val="20"/>
        </w:rPr>
        <w:t xml:space="preserve"> (1</w:t>
      </w:r>
      <w:r w:rsidRPr="006F3EE2">
        <w:rPr>
          <w:rFonts w:ascii="Palatino Linotype" w:hAnsi="Palatino Linotype"/>
          <w:sz w:val="20"/>
          <w:szCs w:val="20"/>
        </w:rPr>
        <w:t>912</w:t>
      </w:r>
      <w:r w:rsidR="00A2171E" w:rsidRPr="006F3EE2">
        <w:rPr>
          <w:rFonts w:ascii="Palatino Linotype" w:hAnsi="Palatino Linotype"/>
          <w:sz w:val="20"/>
          <w:szCs w:val="20"/>
        </w:rPr>
        <w:t>)</w:t>
      </w:r>
      <w:r w:rsidR="00A2171E" w:rsidRPr="006F3EE2">
        <w:rPr>
          <w:rStyle w:val="FootnoteReference"/>
          <w:rFonts w:ascii="Palatino Linotype" w:hAnsi="Palatino Linotype"/>
          <w:sz w:val="20"/>
          <w:szCs w:val="20"/>
        </w:rPr>
        <w:footnoteReference w:id="1"/>
      </w:r>
    </w:p>
    <w:p w14:paraId="0CBBC300" w14:textId="77777777" w:rsidR="00A2171E" w:rsidRPr="006F3EE2" w:rsidRDefault="00A2171E" w:rsidP="006F3EE2">
      <w:pPr>
        <w:jc w:val="both"/>
        <w:rPr>
          <w:rFonts w:ascii="Palatino Linotype" w:hAnsi="Palatino Linotype"/>
          <w:sz w:val="20"/>
          <w:szCs w:val="20"/>
        </w:rPr>
      </w:pPr>
    </w:p>
    <w:p w14:paraId="1A347F3D" w14:textId="77777777" w:rsidR="006F3EE2" w:rsidRPr="006F3EE2" w:rsidRDefault="006F3EE2" w:rsidP="006F3EE2">
      <w:pPr>
        <w:pStyle w:val="BTX"/>
        <w:shd w:val="clear" w:color="auto" w:fill="auto"/>
        <w:spacing w:line="240" w:lineRule="auto"/>
        <w:ind w:firstLine="720"/>
        <w:rPr>
          <w:rFonts w:ascii="Palatino Linotype" w:hAnsi="Palatino Linotype"/>
          <w:sz w:val="20"/>
          <w:szCs w:val="20"/>
        </w:rPr>
      </w:pPr>
      <w:r w:rsidRPr="006F3EE2">
        <w:rPr>
          <w:rStyle w:val="italic"/>
          <w:rFonts w:ascii="Palatino Linotype" w:hAnsi="Palatino Linotype"/>
          <w:sz w:val="20"/>
          <w:szCs w:val="20"/>
        </w:rPr>
        <w:t>The 1912 presidential race was split four ways. The Republicans were divided between the incumbent, William Howard Taft, and the insurgent ex-president Theodore Roosevelt. With a sizable following but still a distinct fourth was the Socialist Eugene Debs. New Jersey governor and transplanted Virginian Woodrow Wilson was the Democratic Party nominee. Wilson’s nomination helped shed the party’s image of Populist radicalism, but the contours of his own moderate Progressivism were not well defined. The central question of the campaign was how to deal with the powerful corporations that had rapidly arisen in the late nineteenth and early twentieth centuries and now seemed to dominate the economy.</w:t>
      </w:r>
    </w:p>
    <w:p w14:paraId="6B020F64" w14:textId="77777777" w:rsidR="006F3EE2" w:rsidRPr="006F3EE2" w:rsidRDefault="006F3EE2" w:rsidP="006F3EE2">
      <w:pPr>
        <w:pStyle w:val="BTX"/>
        <w:shd w:val="clear" w:color="auto" w:fill="auto"/>
        <w:spacing w:line="240" w:lineRule="auto"/>
        <w:ind w:firstLine="720"/>
        <w:rPr>
          <w:rFonts w:ascii="Palatino Linotype" w:hAnsi="Palatino Linotype"/>
          <w:sz w:val="20"/>
          <w:szCs w:val="20"/>
        </w:rPr>
      </w:pPr>
      <w:r w:rsidRPr="006F3EE2">
        <w:rPr>
          <w:rStyle w:val="italic"/>
          <w:rFonts w:ascii="Palatino Linotype" w:hAnsi="Palatino Linotype"/>
          <w:sz w:val="20"/>
          <w:szCs w:val="20"/>
        </w:rPr>
        <w:t>In a campaign speech in 1912, Democrat Woodrow Wilson said that the “history of liberty is a history of the limitation of governmental power,” which Progressives lampooned as enfeebling government and empowering industrial giants. Wilson himself questioned whether liberty can “come from the government” and questioned whether reformers associated with the Republican Party, like either Theodore Roosevelt or William Howard Taft, had too many “entangling alliances” with big business to be trusted to “set our government free.”</w:t>
      </w:r>
      <w:r w:rsidRPr="006F3EE2">
        <w:rPr>
          <w:rFonts w:ascii="Palatino Linotype" w:hAnsi="Palatino Linotype"/>
          <w:i/>
          <w:iCs/>
          <w:sz w:val="20"/>
          <w:szCs w:val="20"/>
          <w:vertAlign w:val="superscript"/>
        </w:rPr>
        <w:footnoteReference w:id="2"/>
      </w:r>
    </w:p>
    <w:p w14:paraId="49154D10" w14:textId="77777777" w:rsidR="00A2171E" w:rsidRPr="006F3EE2" w:rsidRDefault="006F3EE2" w:rsidP="006F3EE2">
      <w:pPr>
        <w:ind w:firstLine="720"/>
        <w:jc w:val="both"/>
        <w:rPr>
          <w:rFonts w:ascii="Palatino Linotype" w:hAnsi="Palatino Linotype"/>
          <w:i/>
          <w:sz w:val="20"/>
          <w:szCs w:val="20"/>
        </w:rPr>
      </w:pPr>
      <w:r w:rsidRPr="006F3EE2">
        <w:rPr>
          <w:rStyle w:val="italic"/>
          <w:rFonts w:ascii="Palatino Linotype" w:hAnsi="Palatino Linotype"/>
          <w:sz w:val="20"/>
          <w:szCs w:val="20"/>
        </w:rPr>
        <w:t>Advised by labor lawyer Louis Brandeis, whom he later appointed to the Supreme Court, Wilson sought to distinguish himself from both Taft and Roosevelt. Wilson proposed to address the problem of monopoly by active government intervention to recreate the conditions of economic competition, whereas Roosevelt accepted monopolies as inevitable and proposed subjecting them to perpetual government supervision and administration. Where Wilson offered “industrial liberty,” he charged that Roosevelt offered “industrial absolutism.” The “history of liberty,” Wilson declared, “is a history of limitation of governmental power, not the increase of it.” Roosevelt promptly responded that “the limitation of governmental power, of governmental action, means the enslavement of the people by the great corporations who can only be held in check by the extension of governmental power.”</w:t>
      </w:r>
      <w:r w:rsidRPr="006F3EE2">
        <w:rPr>
          <w:rFonts w:ascii="Palatino Linotype" w:hAnsi="Palatino Linotype"/>
          <w:i/>
          <w:iCs/>
          <w:sz w:val="20"/>
          <w:szCs w:val="20"/>
          <w:vertAlign w:val="superscript"/>
        </w:rPr>
        <w:footnoteReference w:id="3"/>
      </w:r>
      <w:r w:rsidRPr="006F3EE2">
        <w:rPr>
          <w:rStyle w:val="italic"/>
          <w:rFonts w:ascii="Palatino Linotype" w:hAnsi="Palatino Linotype"/>
          <w:sz w:val="20"/>
          <w:szCs w:val="20"/>
        </w:rPr>
        <w:t xml:space="preserve"> He accused Wilson of being a proponent of “laissez faire.” Wilson could hardly let such a charge go unanswered. In this campaign address delivered in Scranton, Pennsylvania, on September 23, 1912, Wilson explained his own philosophy of activist government.</w:t>
      </w:r>
    </w:p>
    <w:p w14:paraId="513A41A4" w14:textId="77777777" w:rsidR="00A2171E" w:rsidRPr="006F3EE2" w:rsidRDefault="00A2171E" w:rsidP="006F3EE2">
      <w:pPr>
        <w:jc w:val="both"/>
        <w:rPr>
          <w:rFonts w:ascii="Palatino Linotype" w:hAnsi="Palatino Linotype"/>
          <w:sz w:val="20"/>
          <w:szCs w:val="20"/>
        </w:rPr>
      </w:pPr>
    </w:p>
    <w:p w14:paraId="42F520D2" w14:textId="77777777" w:rsidR="00F043C4" w:rsidRPr="006F3EE2" w:rsidRDefault="00F043C4" w:rsidP="006F3EE2">
      <w:pPr>
        <w:pStyle w:val="PI"/>
        <w:spacing w:line="240" w:lineRule="auto"/>
        <w:rPr>
          <w:rFonts w:ascii="Palatino Linotype" w:hAnsi="Palatino Linotype"/>
          <w:sz w:val="20"/>
          <w:szCs w:val="20"/>
        </w:rPr>
      </w:pPr>
      <w:r w:rsidRPr="006F3EE2">
        <w:rPr>
          <w:rFonts w:ascii="Palatino Linotype" w:hAnsi="Palatino Linotype"/>
          <w:sz w:val="20"/>
          <w:szCs w:val="20"/>
        </w:rPr>
        <w:t>. . . .</w:t>
      </w:r>
    </w:p>
    <w:p w14:paraId="50F8F5E0" w14:textId="77777777" w:rsidR="006F3EE2" w:rsidRPr="006F3EE2" w:rsidRDefault="006F3EE2" w:rsidP="006F3EE2">
      <w:pPr>
        <w:pStyle w:val="P"/>
        <w:spacing w:line="240" w:lineRule="auto"/>
        <w:ind w:firstLine="720"/>
        <w:rPr>
          <w:rFonts w:ascii="Palatino Linotype" w:hAnsi="Palatino Linotype"/>
          <w:sz w:val="20"/>
          <w:szCs w:val="20"/>
        </w:rPr>
      </w:pPr>
      <w:r w:rsidRPr="006F3EE2">
        <w:rPr>
          <w:rFonts w:ascii="Palatino Linotype" w:hAnsi="Palatino Linotype"/>
          <w:sz w:val="20"/>
          <w:szCs w:val="20"/>
        </w:rPr>
        <w:t xml:space="preserve">You know that it was Jefferson who said that the best government is that which does as little governing as possible, which exercises its power as little as possible. That was said in a day when . . . all that was necessary was that the government should withhold its hand and see to it that every man got an opportunity to act if he would. But that time is past. America is not now, and cannot in the future be, a </w:t>
      </w:r>
      <w:r w:rsidRPr="006F3EE2">
        <w:rPr>
          <w:rFonts w:ascii="Palatino Linotype" w:hAnsi="Palatino Linotype"/>
          <w:sz w:val="20"/>
          <w:szCs w:val="20"/>
        </w:rPr>
        <w:lastRenderedPageBreak/>
        <w:t>place for unrestricted individual enterprise. It is true that we have come upon an age of great cooperative industry.</w:t>
      </w:r>
    </w:p>
    <w:p w14:paraId="79FD6731" w14:textId="77777777" w:rsidR="006F3EE2" w:rsidRPr="006F3EE2" w:rsidRDefault="006F3EE2" w:rsidP="006F3EE2">
      <w:pPr>
        <w:pStyle w:val="PI"/>
        <w:spacing w:line="240" w:lineRule="auto"/>
        <w:rPr>
          <w:rFonts w:ascii="Palatino Linotype" w:hAnsi="Palatino Linotype"/>
          <w:sz w:val="20"/>
          <w:szCs w:val="20"/>
        </w:rPr>
      </w:pPr>
      <w:r w:rsidRPr="006F3EE2">
        <w:rPr>
          <w:rFonts w:ascii="Palatino Linotype" w:hAnsi="Palatino Linotype"/>
          <w:sz w:val="20"/>
          <w:szCs w:val="20"/>
        </w:rPr>
        <w:t>. . .</w:t>
      </w:r>
    </w:p>
    <w:p w14:paraId="096CB452" w14:textId="77777777" w:rsidR="006F3EE2" w:rsidRPr="006F3EE2" w:rsidRDefault="006F3EE2" w:rsidP="006F3EE2">
      <w:pPr>
        <w:pStyle w:val="PI"/>
        <w:spacing w:line="240" w:lineRule="auto"/>
        <w:rPr>
          <w:rFonts w:ascii="Palatino Linotype" w:hAnsi="Palatino Linotype"/>
          <w:sz w:val="20"/>
          <w:szCs w:val="20"/>
        </w:rPr>
      </w:pPr>
      <w:r w:rsidRPr="006F3EE2">
        <w:rPr>
          <w:rFonts w:ascii="Palatino Linotype" w:hAnsi="Palatino Linotype"/>
          <w:sz w:val="20"/>
          <w:szCs w:val="20"/>
        </w:rPr>
        <w:t>. . . [T]</w:t>
      </w:r>
      <w:proofErr w:type="spellStart"/>
      <w:r w:rsidRPr="006F3EE2">
        <w:rPr>
          <w:rFonts w:ascii="Palatino Linotype" w:hAnsi="Palatino Linotype"/>
          <w:sz w:val="20"/>
          <w:szCs w:val="20"/>
        </w:rPr>
        <w:t>reatment</w:t>
      </w:r>
      <w:proofErr w:type="spellEnd"/>
      <w:r w:rsidRPr="006F3EE2">
        <w:rPr>
          <w:rFonts w:ascii="Palatino Linotype" w:hAnsi="Palatino Linotype"/>
          <w:sz w:val="20"/>
          <w:szCs w:val="20"/>
        </w:rPr>
        <w:t xml:space="preserve"> of labor by the great corporations is not now what it was in Jefferson’s time. Who in this great audience knows his employer? I mean among those who go down into the mines or go into the mills and factories. You never know, you practically never deal with, the president of the corporation</w:t>
      </w:r>
      <w:proofErr w:type="gramStart"/>
      <w:r w:rsidRPr="006F3EE2">
        <w:rPr>
          <w:rFonts w:ascii="Palatino Linotype" w:hAnsi="Palatino Linotype"/>
          <w:sz w:val="20"/>
          <w:szCs w:val="20"/>
        </w:rPr>
        <w:t>. . . .</w:t>
      </w:r>
      <w:proofErr w:type="gramEnd"/>
      <w:r w:rsidRPr="006F3EE2">
        <w:rPr>
          <w:rFonts w:ascii="Palatino Linotype" w:hAnsi="Palatino Linotype"/>
          <w:sz w:val="20"/>
          <w:szCs w:val="20"/>
        </w:rPr>
        <w:t xml:space="preserve"> The only thing you know is that by the score, by the hundred, by the thousand, you are employed with your fellow workmen by some agent of an invisible employer. Therefore, whenever bodies of men employ bodies of men, it ceases to be a private relationship</w:t>
      </w:r>
      <w:proofErr w:type="gramStart"/>
      <w:r w:rsidRPr="006F3EE2">
        <w:rPr>
          <w:rFonts w:ascii="Palatino Linotype" w:hAnsi="Palatino Linotype"/>
          <w:sz w:val="20"/>
          <w:szCs w:val="20"/>
        </w:rPr>
        <w:t>. . . .</w:t>
      </w:r>
      <w:proofErr w:type="gramEnd"/>
      <w:r w:rsidRPr="006F3EE2">
        <w:rPr>
          <w:rFonts w:ascii="Palatino Linotype" w:hAnsi="Palatino Linotype"/>
          <w:sz w:val="20"/>
          <w:szCs w:val="20"/>
        </w:rPr>
        <w:t xml:space="preserve"> The dealing of great bodies of men with other bodies of men is a matter of public </w:t>
      </w:r>
      <w:proofErr w:type="gramStart"/>
      <w:r w:rsidRPr="006F3EE2">
        <w:rPr>
          <w:rFonts w:ascii="Palatino Linotype" w:hAnsi="Palatino Linotype"/>
          <w:sz w:val="20"/>
          <w:szCs w:val="20"/>
        </w:rPr>
        <w:t>scrutiny, and</w:t>
      </w:r>
      <w:proofErr w:type="gramEnd"/>
      <w:r w:rsidRPr="006F3EE2">
        <w:rPr>
          <w:rFonts w:ascii="Palatino Linotype" w:hAnsi="Palatino Linotype"/>
          <w:sz w:val="20"/>
          <w:szCs w:val="20"/>
        </w:rPr>
        <w:t xml:space="preserve"> should be a matter of public regulation.</w:t>
      </w:r>
    </w:p>
    <w:p w14:paraId="2A4E6876" w14:textId="77777777" w:rsidR="006F3EE2" w:rsidRPr="006F3EE2" w:rsidRDefault="006F3EE2" w:rsidP="006F3EE2">
      <w:pPr>
        <w:pStyle w:val="PI"/>
        <w:spacing w:line="240" w:lineRule="auto"/>
        <w:rPr>
          <w:rFonts w:ascii="Palatino Linotype" w:hAnsi="Palatino Linotype"/>
          <w:sz w:val="20"/>
          <w:szCs w:val="20"/>
        </w:rPr>
      </w:pPr>
      <w:r w:rsidRPr="006F3EE2">
        <w:rPr>
          <w:rFonts w:ascii="Palatino Linotype" w:hAnsi="Palatino Linotype"/>
          <w:sz w:val="20"/>
          <w:szCs w:val="20"/>
        </w:rPr>
        <w:t>Similarly, it was no business of the law in the time of Jefferson to come into my house and see how I kept my house. But when my house, when my property, when my so-called private property, became a great mine, and men went along dark corridors amidst every kind of danger to dig out the bowels of the earth things necessary for the industries of the whole nation, and when it was known that no individual owned these mines, that they were owned by great stock corporations . . . then all the old analogies absolutely collapsed and it became the right of the government to go down into those mines and see whether human beings were properly treated or not. . . .</w:t>
      </w:r>
    </w:p>
    <w:p w14:paraId="1D0A32F6" w14:textId="77777777" w:rsidR="006F3EE2" w:rsidRPr="006F3EE2" w:rsidRDefault="006F3EE2" w:rsidP="006F3EE2">
      <w:pPr>
        <w:pStyle w:val="PI"/>
        <w:spacing w:line="240" w:lineRule="auto"/>
        <w:rPr>
          <w:rFonts w:ascii="Palatino Linotype" w:hAnsi="Palatino Linotype"/>
          <w:sz w:val="20"/>
          <w:szCs w:val="20"/>
        </w:rPr>
      </w:pPr>
      <w:r w:rsidRPr="006F3EE2">
        <w:rPr>
          <w:rFonts w:ascii="Palatino Linotype" w:hAnsi="Palatino Linotype"/>
          <w:sz w:val="20"/>
          <w:szCs w:val="20"/>
        </w:rPr>
        <w:t xml:space="preserve">. . . [W]e </w:t>
      </w:r>
      <w:proofErr w:type="gramStart"/>
      <w:r w:rsidRPr="006F3EE2">
        <w:rPr>
          <w:rFonts w:ascii="Palatino Linotype" w:hAnsi="Palatino Linotype"/>
          <w:sz w:val="20"/>
          <w:szCs w:val="20"/>
        </w:rPr>
        <w:t>are</w:t>
      </w:r>
      <w:proofErr w:type="gramEnd"/>
      <w:r w:rsidRPr="006F3EE2">
        <w:rPr>
          <w:rFonts w:ascii="Palatino Linotype" w:hAnsi="Palatino Linotype"/>
          <w:sz w:val="20"/>
          <w:szCs w:val="20"/>
        </w:rPr>
        <w:t xml:space="preserve"> accused of wishing to minimize the powers of the government of the United States. I am not afraid of the utmost exercise of the powers of the government of Pennsylvania, or of the Union, provided they are exercised with patriotism and intelligence and really in the interest of the people who are living under them. But when it is proposed to set up guardians over those people to take care of them by a process of tutelage and supervision in which they play no active part, I utter my absolute objection</w:t>
      </w:r>
      <w:proofErr w:type="gramStart"/>
      <w:r w:rsidRPr="006F3EE2">
        <w:rPr>
          <w:rFonts w:ascii="Palatino Linotype" w:hAnsi="Palatino Linotype"/>
          <w:sz w:val="20"/>
          <w:szCs w:val="20"/>
        </w:rPr>
        <w:t>. . . .</w:t>
      </w:r>
      <w:proofErr w:type="gramEnd"/>
    </w:p>
    <w:p w14:paraId="2B51D4C5" w14:textId="77777777" w:rsidR="006F3EE2" w:rsidRPr="006F3EE2" w:rsidRDefault="006F3EE2" w:rsidP="006F3EE2">
      <w:pPr>
        <w:pStyle w:val="PI"/>
        <w:spacing w:line="240" w:lineRule="auto"/>
        <w:rPr>
          <w:rFonts w:ascii="Palatino Linotype" w:hAnsi="Palatino Linotype"/>
          <w:sz w:val="20"/>
          <w:szCs w:val="20"/>
        </w:rPr>
      </w:pPr>
      <w:r w:rsidRPr="006F3EE2">
        <w:rPr>
          <w:rFonts w:ascii="Palatino Linotype" w:hAnsi="Palatino Linotype"/>
          <w:sz w:val="20"/>
          <w:szCs w:val="20"/>
        </w:rPr>
        <w:t>. . .</w:t>
      </w:r>
    </w:p>
    <w:p w14:paraId="7D5C5564" w14:textId="77777777" w:rsidR="000B2E9C" w:rsidRPr="006F3EE2" w:rsidRDefault="006F3EE2" w:rsidP="006F3EE2">
      <w:pPr>
        <w:pStyle w:val="P"/>
        <w:spacing w:line="240" w:lineRule="auto"/>
        <w:ind w:firstLine="720"/>
        <w:rPr>
          <w:rFonts w:ascii="Palatino Linotype" w:hAnsi="Palatino Linotype"/>
          <w:sz w:val="20"/>
          <w:szCs w:val="20"/>
        </w:rPr>
      </w:pPr>
      <w:r w:rsidRPr="006F3EE2">
        <w:rPr>
          <w:rFonts w:ascii="Palatino Linotype" w:hAnsi="Palatino Linotype"/>
          <w:sz w:val="20"/>
          <w:szCs w:val="20"/>
        </w:rPr>
        <w:t xml:space="preserve">. . . There is no man, there is no group of men, there is no class of men, big enough or wise enough to take care of a free people. If the free people </w:t>
      </w:r>
      <w:proofErr w:type="gramStart"/>
      <w:r w:rsidRPr="006F3EE2">
        <w:rPr>
          <w:rFonts w:ascii="Palatino Linotype" w:hAnsi="Palatino Linotype"/>
          <w:sz w:val="20"/>
          <w:szCs w:val="20"/>
        </w:rPr>
        <w:t>can’t</w:t>
      </w:r>
      <w:proofErr w:type="gramEnd"/>
      <w:r w:rsidRPr="006F3EE2">
        <w:rPr>
          <w:rFonts w:ascii="Palatino Linotype" w:hAnsi="Palatino Linotype"/>
          <w:sz w:val="20"/>
          <w:szCs w:val="20"/>
        </w:rPr>
        <w:t xml:space="preserve"> take care of itself, then it isn’t free. It </w:t>
      </w:r>
      <w:proofErr w:type="gramStart"/>
      <w:r w:rsidRPr="006F3EE2">
        <w:rPr>
          <w:rFonts w:ascii="Palatino Linotype" w:hAnsi="Palatino Linotype"/>
          <w:sz w:val="20"/>
          <w:szCs w:val="20"/>
        </w:rPr>
        <w:t>hasn’t</w:t>
      </w:r>
      <w:proofErr w:type="gramEnd"/>
      <w:r w:rsidRPr="006F3EE2">
        <w:rPr>
          <w:rFonts w:ascii="Palatino Linotype" w:hAnsi="Palatino Linotype"/>
          <w:sz w:val="20"/>
          <w:szCs w:val="20"/>
        </w:rPr>
        <w:t xml:space="preserve"> grown up. That is the very definition of freedom. If you are afraid to trust any and every man to put forth his powers as he pleases, then you are afraid of liberty itself. I am willing to risk liberty to the utmost, and I am not willing to risk anything else</w:t>
      </w:r>
      <w:proofErr w:type="gramStart"/>
      <w:r w:rsidRPr="006F3EE2">
        <w:rPr>
          <w:rFonts w:ascii="Palatino Linotype" w:hAnsi="Palatino Linotype"/>
          <w:sz w:val="20"/>
          <w:szCs w:val="20"/>
        </w:rPr>
        <w:t>. . . .</w:t>
      </w:r>
      <w:proofErr w:type="gramEnd"/>
    </w:p>
    <w:sectPr w:rsidR="000B2E9C" w:rsidRPr="006F3EE2" w:rsidSect="004618CF">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119E72" w14:textId="77777777" w:rsidR="00ED156B" w:rsidRDefault="00ED156B" w:rsidP="00A2171E">
      <w:r>
        <w:separator/>
      </w:r>
    </w:p>
  </w:endnote>
  <w:endnote w:type="continuationSeparator" w:id="0">
    <w:p w14:paraId="48CB7AD6" w14:textId="77777777" w:rsidR="00ED156B" w:rsidRDefault="00ED156B" w:rsidP="00A21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8796A" w14:textId="77777777" w:rsidR="00AC62DC" w:rsidRDefault="00772817">
    <w:pPr>
      <w:pStyle w:val="Footer"/>
      <w:jc w:val="center"/>
    </w:pPr>
    <w:r>
      <w:fldChar w:fldCharType="begin"/>
    </w:r>
    <w:r>
      <w:instrText xml:space="preserve"> PAGE   \* MERGEFORMAT </w:instrText>
    </w:r>
    <w:r>
      <w:fldChar w:fldCharType="separate"/>
    </w:r>
    <w:r w:rsidR="006F3EE2">
      <w:rPr>
        <w:noProof/>
      </w:rPr>
      <w:t>1</w:t>
    </w:r>
    <w:r>
      <w:rPr>
        <w:noProof/>
      </w:rPr>
      <w:fldChar w:fldCharType="end"/>
    </w:r>
  </w:p>
  <w:p w14:paraId="5D76E007" w14:textId="77777777" w:rsidR="00AC62DC" w:rsidRDefault="00ED15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66FA60" w14:textId="77777777" w:rsidR="00ED156B" w:rsidRDefault="00ED156B" w:rsidP="00A2171E">
      <w:r>
        <w:separator/>
      </w:r>
    </w:p>
  </w:footnote>
  <w:footnote w:type="continuationSeparator" w:id="0">
    <w:p w14:paraId="761BD4B9" w14:textId="77777777" w:rsidR="00ED156B" w:rsidRDefault="00ED156B" w:rsidP="00A2171E">
      <w:r>
        <w:continuationSeparator/>
      </w:r>
    </w:p>
  </w:footnote>
  <w:footnote w:id="1">
    <w:p w14:paraId="1FAB3C72" w14:textId="77777777" w:rsidR="00A2171E" w:rsidRPr="006F3EE2" w:rsidRDefault="00A2171E" w:rsidP="006F3EE2">
      <w:pPr>
        <w:pStyle w:val="FootnoteText"/>
        <w:rPr>
          <w:rFonts w:ascii="Palatino Linotype" w:hAnsi="Palatino Linotype"/>
        </w:rPr>
      </w:pPr>
      <w:r w:rsidRPr="006F3EE2">
        <w:rPr>
          <w:rStyle w:val="FootnoteReference"/>
          <w:rFonts w:ascii="Palatino Linotype" w:hAnsi="Palatino Linotype"/>
        </w:rPr>
        <w:footnoteRef/>
      </w:r>
      <w:r w:rsidRPr="006F3EE2">
        <w:rPr>
          <w:rFonts w:ascii="Palatino Linotype" w:hAnsi="Palatino Linotype"/>
        </w:rPr>
        <w:t xml:space="preserve"> </w:t>
      </w:r>
      <w:r w:rsidR="006F3EE2" w:rsidRPr="006F3EE2">
        <w:rPr>
          <w:rFonts w:ascii="Palatino Linotype" w:hAnsi="Palatino Linotype"/>
        </w:rPr>
        <w:t xml:space="preserve">Excerpt taken from Scranton Speech, September 23, 1912, </w:t>
      </w:r>
      <w:r w:rsidR="006F3EE2" w:rsidRPr="006F3EE2">
        <w:rPr>
          <w:rStyle w:val="italic"/>
          <w:rFonts w:ascii="Palatino Linotype" w:hAnsi="Palatino Linotype"/>
        </w:rPr>
        <w:t>The</w:t>
      </w:r>
      <w:r w:rsidR="006F3EE2" w:rsidRPr="006F3EE2">
        <w:rPr>
          <w:rFonts w:ascii="Palatino Linotype" w:hAnsi="Palatino Linotype"/>
        </w:rPr>
        <w:t xml:space="preserve"> </w:t>
      </w:r>
      <w:r w:rsidR="006F3EE2" w:rsidRPr="006F3EE2">
        <w:rPr>
          <w:rStyle w:val="italic"/>
          <w:rFonts w:ascii="Palatino Linotype" w:hAnsi="Palatino Linotype"/>
        </w:rPr>
        <w:t>Papers of Woodrow Wilson</w:t>
      </w:r>
      <w:r w:rsidR="006F3EE2" w:rsidRPr="006F3EE2">
        <w:rPr>
          <w:rFonts w:ascii="Palatino Linotype" w:hAnsi="Palatino Linotype"/>
        </w:rPr>
        <w:t xml:space="preserve"> Project Records, </w:t>
      </w:r>
      <w:proofErr w:type="spellStart"/>
      <w:r w:rsidR="006F3EE2" w:rsidRPr="006F3EE2">
        <w:rPr>
          <w:rFonts w:ascii="Palatino Linotype" w:hAnsi="Palatino Linotype"/>
        </w:rPr>
        <w:t>Swem</w:t>
      </w:r>
      <w:proofErr w:type="spellEnd"/>
      <w:r w:rsidR="006F3EE2" w:rsidRPr="006F3EE2">
        <w:rPr>
          <w:rFonts w:ascii="Palatino Linotype" w:hAnsi="Palatino Linotype"/>
        </w:rPr>
        <w:t xml:space="preserve"> Collection, Box 457, Department of Rare Books and Special Collections, Princeton University Library.</w:t>
      </w:r>
    </w:p>
  </w:footnote>
  <w:footnote w:id="2">
    <w:p w14:paraId="073AA6A7" w14:textId="77777777" w:rsidR="006F3EE2" w:rsidRPr="006F3EE2" w:rsidRDefault="006F3EE2" w:rsidP="006F3EE2">
      <w:pPr>
        <w:pStyle w:val="FN"/>
        <w:spacing w:line="240" w:lineRule="auto"/>
        <w:rPr>
          <w:rFonts w:ascii="Palatino Linotype" w:hAnsi="Palatino Linotype"/>
        </w:rPr>
      </w:pPr>
      <w:r w:rsidRPr="006F3EE2">
        <w:rPr>
          <w:rFonts w:ascii="Palatino Linotype" w:hAnsi="Palatino Linotype"/>
          <w:vertAlign w:val="superscript"/>
        </w:rPr>
        <w:footnoteRef/>
      </w:r>
      <w:r w:rsidRPr="006F3EE2">
        <w:rPr>
          <w:rFonts w:ascii="Palatino Linotype" w:hAnsi="Palatino Linotype"/>
        </w:rPr>
        <w:t xml:space="preserve"> Arthur S. Link, </w:t>
      </w:r>
      <w:r w:rsidRPr="006F3EE2">
        <w:rPr>
          <w:rStyle w:val="italic"/>
          <w:rFonts w:ascii="Palatino Linotype" w:hAnsi="Palatino Linotype"/>
        </w:rPr>
        <w:t>The Papers of Woodrow Wilson</w:t>
      </w:r>
      <w:r w:rsidRPr="006F3EE2">
        <w:rPr>
          <w:rFonts w:ascii="Palatino Linotype" w:hAnsi="Palatino Linotype"/>
        </w:rPr>
        <w:t>, vol. 25 (Princeton: Princeton University Press, 1978), 119, 124, 125.</w:t>
      </w:r>
    </w:p>
  </w:footnote>
  <w:footnote w:id="3">
    <w:p w14:paraId="701801D9" w14:textId="77777777" w:rsidR="006F3EE2" w:rsidRPr="006F3EE2" w:rsidRDefault="006F3EE2" w:rsidP="006F3EE2">
      <w:pPr>
        <w:pStyle w:val="FN"/>
        <w:spacing w:line="240" w:lineRule="auto"/>
        <w:rPr>
          <w:rFonts w:ascii="Palatino Linotype" w:hAnsi="Palatino Linotype"/>
        </w:rPr>
      </w:pPr>
      <w:r w:rsidRPr="006F3EE2">
        <w:rPr>
          <w:rFonts w:ascii="Palatino Linotype" w:hAnsi="Palatino Linotype"/>
          <w:vertAlign w:val="superscript"/>
        </w:rPr>
        <w:footnoteRef/>
      </w:r>
      <w:r w:rsidRPr="006F3EE2">
        <w:rPr>
          <w:rFonts w:ascii="Palatino Linotype" w:hAnsi="Palatino Linotype"/>
        </w:rPr>
        <w:t xml:space="preserve"> John Wells Davidson, ed., </w:t>
      </w:r>
      <w:r w:rsidRPr="006F3EE2">
        <w:rPr>
          <w:rStyle w:val="italic"/>
          <w:rFonts w:ascii="Palatino Linotype" w:hAnsi="Palatino Linotype"/>
        </w:rPr>
        <w:t>A Crossroads of Freedom</w:t>
      </w:r>
      <w:r w:rsidRPr="006F3EE2">
        <w:rPr>
          <w:rFonts w:ascii="Palatino Linotype" w:hAnsi="Palatino Linotype"/>
        </w:rPr>
        <w:t xml:space="preserve"> (New Haven: Yale University Press, 1956), 130; Howard Gillman, </w:t>
      </w:r>
      <w:r w:rsidRPr="006F3EE2">
        <w:rPr>
          <w:rStyle w:val="italic"/>
          <w:rFonts w:ascii="Palatino Linotype" w:hAnsi="Palatino Linotype"/>
        </w:rPr>
        <w:t>The Constitution Besieged</w:t>
      </w:r>
      <w:r w:rsidRPr="006F3EE2">
        <w:rPr>
          <w:rFonts w:ascii="Palatino Linotype" w:hAnsi="Palatino Linotype"/>
        </w:rPr>
        <w:t xml:space="preserve"> (Durham, NC: Duke University Press, 1993), 151.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9EE8D" w14:textId="77777777" w:rsidR="00AC62DC" w:rsidRPr="00BA4E0A" w:rsidRDefault="00ED156B">
    <w:pPr>
      <w:pStyle w:val="Header"/>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71E"/>
    <w:rsid w:val="00032891"/>
    <w:rsid w:val="000B2E9C"/>
    <w:rsid w:val="001514C0"/>
    <w:rsid w:val="00170949"/>
    <w:rsid w:val="002054CD"/>
    <w:rsid w:val="004B123B"/>
    <w:rsid w:val="004B6E7E"/>
    <w:rsid w:val="004C51EB"/>
    <w:rsid w:val="006F3EE2"/>
    <w:rsid w:val="00772817"/>
    <w:rsid w:val="007A4EE9"/>
    <w:rsid w:val="00940F08"/>
    <w:rsid w:val="00976F03"/>
    <w:rsid w:val="00A2171E"/>
    <w:rsid w:val="00AB56EC"/>
    <w:rsid w:val="00C23836"/>
    <w:rsid w:val="00D07F76"/>
    <w:rsid w:val="00ED156B"/>
    <w:rsid w:val="00F043C4"/>
    <w:rsid w:val="00F50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CBB09"/>
  <w15:chartTrackingRefBased/>
  <w15:docId w15:val="{F03ADCD4-E2D2-4C38-A2DE-630C00E32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71E"/>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A2171E"/>
    <w:rPr>
      <w:rFonts w:eastAsia="Times New Roman"/>
      <w:sz w:val="20"/>
      <w:szCs w:val="20"/>
    </w:rPr>
  </w:style>
  <w:style w:type="character" w:customStyle="1" w:styleId="FootnoteTextChar">
    <w:name w:val="Footnote Text Char"/>
    <w:basedOn w:val="DefaultParagraphFont"/>
    <w:link w:val="FootnoteText"/>
    <w:uiPriority w:val="99"/>
    <w:semiHidden/>
    <w:rsid w:val="00A2171E"/>
    <w:rPr>
      <w:rFonts w:ascii="Times New Roman" w:eastAsia="Times New Roman" w:hAnsi="Times New Roman" w:cs="Times New Roman"/>
      <w:sz w:val="20"/>
      <w:szCs w:val="20"/>
    </w:rPr>
  </w:style>
  <w:style w:type="character" w:styleId="FootnoteReference">
    <w:name w:val="footnote reference"/>
    <w:uiPriority w:val="99"/>
    <w:rsid w:val="00A2171E"/>
    <w:rPr>
      <w:rFonts w:cs="Times New Roman"/>
      <w:vertAlign w:val="superscript"/>
    </w:rPr>
  </w:style>
  <w:style w:type="paragraph" w:styleId="Header">
    <w:name w:val="header"/>
    <w:basedOn w:val="Normal"/>
    <w:link w:val="HeaderChar"/>
    <w:uiPriority w:val="99"/>
    <w:rsid w:val="00A2171E"/>
    <w:pPr>
      <w:tabs>
        <w:tab w:val="center" w:pos="4680"/>
        <w:tab w:val="right" w:pos="9360"/>
      </w:tabs>
    </w:pPr>
  </w:style>
  <w:style w:type="character" w:customStyle="1" w:styleId="HeaderChar">
    <w:name w:val="Header Char"/>
    <w:basedOn w:val="DefaultParagraphFont"/>
    <w:link w:val="Header"/>
    <w:uiPriority w:val="99"/>
    <w:rsid w:val="00A2171E"/>
    <w:rPr>
      <w:rFonts w:ascii="Times New Roman" w:eastAsia="Calibri" w:hAnsi="Times New Roman" w:cs="Times New Roman"/>
    </w:rPr>
  </w:style>
  <w:style w:type="paragraph" w:styleId="Footer">
    <w:name w:val="footer"/>
    <w:basedOn w:val="Normal"/>
    <w:link w:val="FooterChar"/>
    <w:uiPriority w:val="99"/>
    <w:rsid w:val="00A2171E"/>
    <w:pPr>
      <w:tabs>
        <w:tab w:val="center" w:pos="4680"/>
        <w:tab w:val="right" w:pos="9360"/>
      </w:tabs>
    </w:pPr>
  </w:style>
  <w:style w:type="character" w:customStyle="1" w:styleId="FooterChar">
    <w:name w:val="Footer Char"/>
    <w:basedOn w:val="DefaultParagraphFont"/>
    <w:link w:val="Footer"/>
    <w:uiPriority w:val="99"/>
    <w:rsid w:val="00A2171E"/>
    <w:rPr>
      <w:rFonts w:ascii="Times New Roman" w:eastAsia="Calibri" w:hAnsi="Times New Roman" w:cs="Times New Roman"/>
    </w:rPr>
  </w:style>
  <w:style w:type="character" w:customStyle="1" w:styleId="italic">
    <w:name w:val="italic"/>
    <w:uiPriority w:val="99"/>
    <w:rsid w:val="00976F03"/>
    <w:rPr>
      <w:i/>
      <w:iCs/>
      <w:color w:val="000000"/>
    </w:rPr>
  </w:style>
  <w:style w:type="paragraph" w:customStyle="1" w:styleId="P">
    <w:name w:val="P"/>
    <w:rsid w:val="00976F03"/>
    <w:pPr>
      <w:spacing w:line="480" w:lineRule="auto"/>
    </w:pPr>
    <w:rPr>
      <w:rFonts w:ascii="Times New Roman" w:eastAsia="Times New Roman" w:hAnsi="Times New Roman" w:cs="Times New Roman"/>
      <w:sz w:val="24"/>
      <w:szCs w:val="24"/>
    </w:rPr>
  </w:style>
  <w:style w:type="paragraph" w:customStyle="1" w:styleId="PI">
    <w:name w:val="PI"/>
    <w:rsid w:val="00976F03"/>
    <w:pPr>
      <w:spacing w:line="480" w:lineRule="auto"/>
      <w:ind w:firstLine="720"/>
    </w:pPr>
    <w:rPr>
      <w:rFonts w:ascii="Times New Roman" w:eastAsia="Times New Roman" w:hAnsi="Times New Roman" w:cs="Times New Roman"/>
      <w:sz w:val="24"/>
      <w:szCs w:val="24"/>
    </w:rPr>
  </w:style>
  <w:style w:type="paragraph" w:customStyle="1" w:styleId="FN">
    <w:name w:val="FN"/>
    <w:rsid w:val="00F043C4"/>
    <w:pPr>
      <w:spacing w:line="480" w:lineRule="auto"/>
    </w:pPr>
    <w:rPr>
      <w:rFonts w:ascii="Times New Roman" w:eastAsia="Times New Roman" w:hAnsi="Times New Roman" w:cs="Times New Roman"/>
      <w:sz w:val="20"/>
      <w:szCs w:val="24"/>
    </w:rPr>
  </w:style>
  <w:style w:type="paragraph" w:customStyle="1" w:styleId="BTX">
    <w:name w:val="BTX"/>
    <w:rsid w:val="00F043C4"/>
    <w:pPr>
      <w:shd w:val="clear" w:color="auto" w:fill="F3F3F3"/>
      <w:spacing w:line="480" w:lineRule="auto"/>
    </w:pPr>
    <w:rPr>
      <w:rFonts w:ascii="Times New Roman" w:eastAsia="Times New Roman" w:hAnsi="Times New Roman" w:cs="Times New Roman"/>
      <w:sz w:val="24"/>
      <w:szCs w:val="24"/>
    </w:rPr>
  </w:style>
  <w:style w:type="paragraph" w:customStyle="1" w:styleId="CPYTXT">
    <w:name w:val="CPYTXT"/>
    <w:rsid w:val="00F043C4"/>
    <w:pPr>
      <w:spacing w:line="480" w:lineRule="auto"/>
    </w:pPr>
    <w:rPr>
      <w:rFonts w:ascii="Times New Roman" w:eastAsia="Times New Roman" w:hAnsi="Times New Roman" w:cs="Times New Roman"/>
      <w:sz w:val="24"/>
      <w:szCs w:val="20"/>
    </w:rPr>
  </w:style>
  <w:style w:type="paragraph" w:customStyle="1" w:styleId="FMCTBTOC">
    <w:name w:val="FMCT:BTOC"/>
    <w:rsid w:val="00AB56EC"/>
    <w:pPr>
      <w:spacing w:line="480" w:lineRule="auto"/>
    </w:pPr>
    <w:rPr>
      <w:rFonts w:ascii="Times New Roman" w:eastAsia="Times New Roman" w:hAnsi="Times New Roman" w:cs="Times New Roman"/>
      <w:color w:val="333399"/>
      <w:sz w:val="32"/>
      <w:szCs w:val="24"/>
    </w:rPr>
  </w:style>
  <w:style w:type="paragraph" w:customStyle="1" w:styleId="FGC">
    <w:name w:val="FGC"/>
    <w:basedOn w:val="Normal"/>
    <w:qFormat/>
    <w:rsid w:val="006F3EE2"/>
    <w:pPr>
      <w:spacing w:line="480" w:lineRule="auto"/>
    </w:pPr>
    <w:rPr>
      <w:rFonts w:eastAsia="Times New Roman"/>
      <w:color w:val="2F5496"/>
      <w:sz w:val="20"/>
      <w:szCs w:val="24"/>
    </w:rPr>
  </w:style>
  <w:style w:type="paragraph" w:customStyle="1" w:styleId="FGS">
    <w:name w:val="FGS"/>
    <w:rsid w:val="006F3EE2"/>
    <w:pPr>
      <w:spacing w:line="480" w:lineRule="auto"/>
    </w:pPr>
    <w:rPr>
      <w:rFonts w:ascii="Times New Roman" w:eastAsia="Times New Roman" w:hAnsi="Times New Roman" w:cs="Times New Roman"/>
      <w:color w:val="00808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827</Words>
  <Characters>4715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E. Whittington</dc:creator>
  <cp:keywords/>
  <dc:description/>
  <cp:lastModifiedBy>Graber, Mark</cp:lastModifiedBy>
  <cp:revision>2</cp:revision>
  <dcterms:created xsi:type="dcterms:W3CDTF">2020-12-23T00:29:00Z</dcterms:created>
  <dcterms:modified xsi:type="dcterms:W3CDTF">2020-12-23T00:29:00Z</dcterms:modified>
</cp:coreProperties>
</file>