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FC8F" w14:textId="77777777" w:rsidR="00A2171E" w:rsidRPr="00AF2043" w:rsidRDefault="00A2171E" w:rsidP="00AF2043">
      <w:pPr>
        <w:jc w:val="center"/>
        <w:rPr>
          <w:rFonts w:ascii="Palatino Linotype" w:hAnsi="Palatino Linotype"/>
          <w:sz w:val="20"/>
          <w:szCs w:val="20"/>
        </w:rPr>
      </w:pPr>
      <w:r w:rsidRPr="00AF2043">
        <w:rPr>
          <w:rFonts w:ascii="Palatino Linotype" w:hAnsi="Palatino Linotype"/>
          <w:sz w:val="20"/>
          <w:szCs w:val="20"/>
        </w:rPr>
        <w:t>AMERICAN CONSTITUTIONALISM</w:t>
      </w:r>
    </w:p>
    <w:p w14:paraId="4561DCDB" w14:textId="77777777" w:rsidR="00A2171E" w:rsidRPr="00AF2043" w:rsidRDefault="00A2171E" w:rsidP="00AF2043">
      <w:pPr>
        <w:jc w:val="center"/>
        <w:rPr>
          <w:rFonts w:ascii="Palatino Linotype" w:hAnsi="Palatino Linotype"/>
          <w:sz w:val="20"/>
          <w:szCs w:val="20"/>
        </w:rPr>
      </w:pPr>
      <w:r w:rsidRPr="00AF2043">
        <w:rPr>
          <w:rFonts w:ascii="Palatino Linotype" w:hAnsi="Palatino Linotype"/>
          <w:sz w:val="20"/>
          <w:szCs w:val="20"/>
        </w:rPr>
        <w:t>VOLUME I:  STRUCTURES OF GOVERNMENT</w:t>
      </w:r>
    </w:p>
    <w:p w14:paraId="56628E68" w14:textId="77777777" w:rsidR="00A2171E" w:rsidRPr="00AF2043" w:rsidRDefault="00A2171E" w:rsidP="00AF2043">
      <w:pPr>
        <w:jc w:val="center"/>
        <w:rPr>
          <w:rFonts w:ascii="Palatino Linotype" w:hAnsi="Palatino Linotype"/>
          <w:sz w:val="20"/>
          <w:szCs w:val="20"/>
        </w:rPr>
      </w:pPr>
      <w:r w:rsidRPr="00AF2043">
        <w:rPr>
          <w:rFonts w:ascii="Palatino Linotype" w:hAnsi="Palatino Linotype"/>
          <w:sz w:val="20"/>
          <w:szCs w:val="20"/>
        </w:rPr>
        <w:t>Howard Gillman • Mark A. Graber • Keith E. Whittington</w:t>
      </w:r>
    </w:p>
    <w:p w14:paraId="1DFE053F" w14:textId="77777777" w:rsidR="00A2171E" w:rsidRPr="00AF2043" w:rsidRDefault="00A2171E" w:rsidP="00AF2043">
      <w:pPr>
        <w:jc w:val="center"/>
        <w:rPr>
          <w:rFonts w:ascii="Palatino Linotype" w:hAnsi="Palatino Linotype"/>
          <w:sz w:val="20"/>
          <w:szCs w:val="20"/>
        </w:rPr>
      </w:pPr>
    </w:p>
    <w:p w14:paraId="351C1715" w14:textId="77777777" w:rsidR="00A2171E" w:rsidRPr="00AF2043" w:rsidRDefault="00A2171E" w:rsidP="00AF2043">
      <w:pPr>
        <w:jc w:val="center"/>
        <w:rPr>
          <w:rFonts w:ascii="Palatino Linotype" w:hAnsi="Palatino Linotype"/>
          <w:sz w:val="20"/>
          <w:szCs w:val="20"/>
        </w:rPr>
      </w:pPr>
      <w:r w:rsidRPr="00AF2043">
        <w:rPr>
          <w:rFonts w:ascii="Palatino Linotype" w:hAnsi="Palatino Linotype"/>
          <w:sz w:val="20"/>
          <w:szCs w:val="20"/>
        </w:rPr>
        <w:t>Supplementary Material</w:t>
      </w:r>
    </w:p>
    <w:p w14:paraId="11AE4843" w14:textId="77777777" w:rsidR="00A2171E" w:rsidRPr="00AF2043" w:rsidRDefault="00A2171E" w:rsidP="00AF2043">
      <w:pPr>
        <w:jc w:val="center"/>
        <w:rPr>
          <w:rFonts w:ascii="Palatino Linotype" w:hAnsi="Palatino Linotype"/>
          <w:sz w:val="20"/>
          <w:szCs w:val="20"/>
        </w:rPr>
      </w:pPr>
    </w:p>
    <w:p w14:paraId="6616FEB1" w14:textId="77777777" w:rsidR="00A2171E" w:rsidRPr="00AF2043" w:rsidRDefault="00A2171E" w:rsidP="00AF2043">
      <w:pPr>
        <w:jc w:val="center"/>
        <w:rPr>
          <w:rFonts w:ascii="Palatino Linotype" w:hAnsi="Palatino Linotype"/>
          <w:sz w:val="20"/>
          <w:szCs w:val="20"/>
        </w:rPr>
      </w:pPr>
      <w:r w:rsidRPr="00AF2043">
        <w:rPr>
          <w:rFonts w:ascii="Palatino Linotype" w:hAnsi="Palatino Linotype"/>
          <w:sz w:val="20"/>
          <w:szCs w:val="20"/>
        </w:rPr>
        <w:t xml:space="preserve">Chapter </w:t>
      </w:r>
      <w:r w:rsidR="00304583" w:rsidRPr="00AF2043">
        <w:rPr>
          <w:rFonts w:ascii="Palatino Linotype" w:hAnsi="Palatino Linotype"/>
          <w:sz w:val="20"/>
          <w:szCs w:val="20"/>
        </w:rPr>
        <w:t>8</w:t>
      </w:r>
      <w:r w:rsidRPr="00AF2043">
        <w:rPr>
          <w:rFonts w:ascii="Palatino Linotype" w:hAnsi="Palatino Linotype"/>
          <w:sz w:val="20"/>
          <w:szCs w:val="20"/>
        </w:rPr>
        <w:t xml:space="preserve">:  The </w:t>
      </w:r>
      <w:r w:rsidR="00304583" w:rsidRPr="00AF2043">
        <w:rPr>
          <w:rFonts w:ascii="Palatino Linotype" w:hAnsi="Palatino Linotype"/>
          <w:sz w:val="20"/>
          <w:szCs w:val="20"/>
        </w:rPr>
        <w:t>New Deal/Great Society</w:t>
      </w:r>
      <w:r w:rsidRPr="00AF2043">
        <w:rPr>
          <w:rFonts w:ascii="Palatino Linotype" w:hAnsi="Palatino Linotype"/>
          <w:sz w:val="20"/>
          <w:szCs w:val="20"/>
        </w:rPr>
        <w:t xml:space="preserve"> Era – </w:t>
      </w:r>
      <w:r w:rsidR="007A4EE9" w:rsidRPr="00AF2043">
        <w:rPr>
          <w:rFonts w:ascii="Palatino Linotype" w:hAnsi="Palatino Linotype"/>
          <w:sz w:val="20"/>
          <w:szCs w:val="20"/>
        </w:rPr>
        <w:t>Introduction</w:t>
      </w:r>
    </w:p>
    <w:p w14:paraId="1B35A9AA" w14:textId="77777777" w:rsidR="00A2171E" w:rsidRPr="00AF2043" w:rsidRDefault="00A2171E" w:rsidP="00AF2043">
      <w:pPr>
        <w:jc w:val="center"/>
        <w:rPr>
          <w:rFonts w:ascii="Palatino Linotype" w:hAnsi="Palatino Linotype"/>
          <w:sz w:val="20"/>
          <w:szCs w:val="20"/>
        </w:rPr>
      </w:pPr>
    </w:p>
    <w:p w14:paraId="74BA9EAB" w14:textId="77777777" w:rsidR="00A2171E" w:rsidRPr="00AF2043" w:rsidRDefault="00A2171E" w:rsidP="00AF2043">
      <w:pPr>
        <w:jc w:val="both"/>
        <w:rPr>
          <w:rFonts w:ascii="Palatino Linotype" w:hAnsi="Palatino Linotype"/>
          <w:sz w:val="20"/>
          <w:szCs w:val="20"/>
        </w:rPr>
      </w:pPr>
    </w:p>
    <w:p w14:paraId="36660400" w14:textId="77777777" w:rsidR="00A2171E" w:rsidRPr="00AF2043" w:rsidRDefault="00AF2043" w:rsidP="00AF2043">
      <w:pPr>
        <w:pBdr>
          <w:top w:val="single" w:sz="4" w:space="5" w:color="auto"/>
          <w:bottom w:val="single" w:sz="4" w:space="5" w:color="auto"/>
        </w:pBdr>
        <w:jc w:val="center"/>
        <w:rPr>
          <w:rFonts w:ascii="Palatino Linotype" w:hAnsi="Palatino Linotype"/>
          <w:sz w:val="20"/>
          <w:szCs w:val="20"/>
        </w:rPr>
      </w:pPr>
      <w:r w:rsidRPr="00AF2043">
        <w:rPr>
          <w:rFonts w:ascii="Palatino Linotype" w:hAnsi="Palatino Linotype"/>
          <w:i/>
          <w:sz w:val="20"/>
          <w:szCs w:val="20"/>
        </w:rPr>
        <w:t>Dwight Eisenhower</w:t>
      </w:r>
      <w:r w:rsidR="00A2171E" w:rsidRPr="00AF2043">
        <w:rPr>
          <w:rFonts w:ascii="Palatino Linotype" w:hAnsi="Palatino Linotype"/>
          <w:sz w:val="20"/>
          <w:szCs w:val="20"/>
        </w:rPr>
        <w:t xml:space="preserve">, </w:t>
      </w:r>
      <w:r w:rsidRPr="00AF2043">
        <w:rPr>
          <w:rFonts w:ascii="Palatino Linotype" w:hAnsi="Palatino Linotype"/>
          <w:b/>
          <w:sz w:val="20"/>
          <w:szCs w:val="20"/>
        </w:rPr>
        <w:t>Letter to Edgar Newton Eisenhower</w:t>
      </w:r>
      <w:r w:rsidR="00A2171E" w:rsidRPr="00AF2043">
        <w:rPr>
          <w:rFonts w:ascii="Palatino Linotype" w:hAnsi="Palatino Linotype"/>
          <w:sz w:val="20"/>
          <w:szCs w:val="20"/>
        </w:rPr>
        <w:t xml:space="preserve"> (1</w:t>
      </w:r>
      <w:r w:rsidR="006F3EE2" w:rsidRPr="00AF2043">
        <w:rPr>
          <w:rFonts w:ascii="Palatino Linotype" w:hAnsi="Palatino Linotype"/>
          <w:sz w:val="20"/>
          <w:szCs w:val="20"/>
        </w:rPr>
        <w:t>9</w:t>
      </w:r>
      <w:r w:rsidRPr="00AF2043">
        <w:rPr>
          <w:rFonts w:ascii="Palatino Linotype" w:hAnsi="Palatino Linotype"/>
          <w:sz w:val="20"/>
          <w:szCs w:val="20"/>
        </w:rPr>
        <w:t>54</w:t>
      </w:r>
      <w:r w:rsidR="00A2171E" w:rsidRPr="00AF2043">
        <w:rPr>
          <w:rFonts w:ascii="Palatino Linotype" w:hAnsi="Palatino Linotype"/>
          <w:sz w:val="20"/>
          <w:szCs w:val="20"/>
        </w:rPr>
        <w:t>)</w:t>
      </w:r>
      <w:r w:rsidR="00A2171E" w:rsidRPr="00AF2043">
        <w:rPr>
          <w:rStyle w:val="FootnoteReference"/>
          <w:rFonts w:ascii="Palatino Linotype" w:hAnsi="Palatino Linotype"/>
          <w:sz w:val="20"/>
          <w:szCs w:val="20"/>
        </w:rPr>
        <w:footnoteReference w:id="1"/>
      </w:r>
    </w:p>
    <w:p w14:paraId="02B453D6" w14:textId="77777777" w:rsidR="00A2171E" w:rsidRPr="00AF2043" w:rsidRDefault="00A2171E" w:rsidP="00AF2043">
      <w:pPr>
        <w:jc w:val="both"/>
        <w:rPr>
          <w:rFonts w:ascii="Palatino Linotype" w:hAnsi="Palatino Linotype"/>
          <w:sz w:val="20"/>
          <w:szCs w:val="20"/>
        </w:rPr>
      </w:pPr>
    </w:p>
    <w:p w14:paraId="5B00F86E" w14:textId="77777777" w:rsidR="00AF2043" w:rsidRPr="00AF2043" w:rsidRDefault="00AF2043" w:rsidP="00AF2043">
      <w:pPr>
        <w:pStyle w:val="BTX"/>
        <w:shd w:val="clear" w:color="auto" w:fill="auto"/>
        <w:spacing w:line="240" w:lineRule="auto"/>
        <w:ind w:firstLine="720"/>
        <w:rPr>
          <w:rFonts w:ascii="Palatino Linotype" w:hAnsi="Palatino Linotype"/>
          <w:sz w:val="20"/>
          <w:szCs w:val="20"/>
        </w:rPr>
      </w:pPr>
      <w:r w:rsidRPr="00AF2043">
        <w:rPr>
          <w:rStyle w:val="italic"/>
          <w:rFonts w:ascii="Palatino Linotype" w:hAnsi="Palatino Linotype"/>
          <w:sz w:val="20"/>
          <w:szCs w:val="20"/>
        </w:rPr>
        <w:t>The Republican Party, battered across multiple national elections, increasingly accepted the central constitutional features of the emerging New Deal state. The Republican Party platform of 1940, while complaining about the “relative expansion of the power of the Federal government over the everyday life of the farmer, the industrial worker and the businessman,” devoted most of its fire to how “waste, discrimination and politics” were preventing New Deal measures from achieving their goals. The Republican presidential candidate that year, Wendell Willkie, ran on a platform that called for an “extension” of benefits provided by Social Security, federal grants to states for relief, maintenance of the National Labor Relations Act, and benefit payments to farmers. Unlike the Democratic Party platform of 1940, Republicans that year endorsed the Equal Rights Amendment for women and called for a ban on race discrimination. The only New Deal measures the Republican convention continued to denounce as unconstitutional in 1940 were laws giving the president control over the currency and the power to allocate radio frequencies.</w:t>
      </w:r>
    </w:p>
    <w:p w14:paraId="4F477CF0" w14:textId="77777777" w:rsidR="00A2171E" w:rsidRPr="00AF2043" w:rsidRDefault="00AF2043" w:rsidP="00AF2043">
      <w:pPr>
        <w:ind w:firstLine="720"/>
        <w:jc w:val="both"/>
        <w:rPr>
          <w:rFonts w:ascii="Palatino Linotype" w:hAnsi="Palatino Linotype"/>
          <w:i/>
          <w:sz w:val="20"/>
          <w:szCs w:val="20"/>
        </w:rPr>
      </w:pPr>
      <w:r w:rsidRPr="00AF2043">
        <w:rPr>
          <w:rStyle w:val="italic"/>
          <w:rFonts w:ascii="Palatino Linotype" w:hAnsi="Palatino Linotype"/>
          <w:sz w:val="20"/>
          <w:szCs w:val="20"/>
        </w:rPr>
        <w:t xml:space="preserve">In 1952, Dwight Eisenhower became the first Republican to be elected president during the New Deal Era. Eisenhower was by no means a traditional Republican. Educated at West Point, he was an army lifer, who rose to national prominence when leading the D-Day assault against Nazi Germany. Eisenhower had no partisan profile before his nomination for the </w:t>
      </w:r>
      <w:proofErr w:type="gramStart"/>
      <w:r w:rsidRPr="00AF2043">
        <w:rPr>
          <w:rStyle w:val="italic"/>
          <w:rFonts w:ascii="Palatino Linotype" w:hAnsi="Palatino Linotype"/>
          <w:sz w:val="20"/>
          <w:szCs w:val="20"/>
        </w:rPr>
        <w:t>presidency, and</w:t>
      </w:r>
      <w:proofErr w:type="gramEnd"/>
      <w:r w:rsidRPr="00AF2043">
        <w:rPr>
          <w:rStyle w:val="italic"/>
          <w:rFonts w:ascii="Palatino Linotype" w:hAnsi="Palatino Linotype"/>
          <w:sz w:val="20"/>
          <w:szCs w:val="20"/>
        </w:rPr>
        <w:t xml:space="preserve"> had previously been approached by Harry Truman about the possibility of running as a Democratic candidate. When running his first campaign, Eisenhower sought to redefine the Republican Party in his own image, as a “middle-of-the-road Republican.” A key feature of Eisenhower’s New Republicanism was its acceptance of the legitimacy of the New Deal. His Republican Party offered more competent and fiscally conscious management of the liberal state, not an ideological or constitutional alternative to it. Eisenhower emphasized this point privately as well as publicly, particularly when pressed by his more conservative brother, Edgar, who took the president to task for not returning to the pre–New Deal constitutional state. The president pointed to the only Constitution that he thought mattered, the one laid down by the current Supreme Court and, implicitly, the one sustained by voters in the previous national elections.</w:t>
      </w:r>
    </w:p>
    <w:p w14:paraId="0490E007" w14:textId="77777777" w:rsidR="00A2171E" w:rsidRPr="00AF2043" w:rsidRDefault="00A2171E" w:rsidP="00AF2043">
      <w:pPr>
        <w:jc w:val="both"/>
        <w:rPr>
          <w:rFonts w:ascii="Palatino Linotype" w:hAnsi="Palatino Linotype"/>
          <w:sz w:val="20"/>
          <w:szCs w:val="20"/>
        </w:rPr>
      </w:pPr>
    </w:p>
    <w:p w14:paraId="44EF220B" w14:textId="77777777" w:rsidR="00F043C4" w:rsidRPr="00AF2043" w:rsidRDefault="00F043C4" w:rsidP="00AF2043">
      <w:pPr>
        <w:pStyle w:val="PI"/>
        <w:spacing w:line="240" w:lineRule="auto"/>
        <w:rPr>
          <w:rFonts w:ascii="Palatino Linotype" w:hAnsi="Palatino Linotype"/>
          <w:sz w:val="20"/>
          <w:szCs w:val="20"/>
        </w:rPr>
      </w:pPr>
      <w:r w:rsidRPr="00AF2043">
        <w:rPr>
          <w:rFonts w:ascii="Palatino Linotype" w:hAnsi="Palatino Linotype"/>
          <w:sz w:val="20"/>
          <w:szCs w:val="20"/>
        </w:rPr>
        <w:t>. . . .</w:t>
      </w:r>
    </w:p>
    <w:p w14:paraId="24F9CE00" w14:textId="77777777" w:rsidR="00AF2043"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 xml:space="preserve">You keep harping on the Constitution; I should like to point out that the meaning of the Constitution is what the Supreme Court says it is. </w:t>
      </w:r>
      <w:proofErr w:type="gramStart"/>
      <w:r w:rsidRPr="00AF2043">
        <w:rPr>
          <w:rFonts w:ascii="Palatino Linotype" w:hAnsi="Palatino Linotype"/>
          <w:sz w:val="20"/>
          <w:szCs w:val="20"/>
        </w:rPr>
        <w:t>Consequently</w:t>
      </w:r>
      <w:proofErr w:type="gramEnd"/>
      <w:r w:rsidRPr="00AF2043">
        <w:rPr>
          <w:rFonts w:ascii="Palatino Linotype" w:hAnsi="Palatino Linotype"/>
          <w:sz w:val="20"/>
          <w:szCs w:val="20"/>
        </w:rPr>
        <w:t xml:space="preserve"> no powers are exercised by the Federal government except where such exercise is approved by the Supreme Court (lawyers) of the land.</w:t>
      </w:r>
    </w:p>
    <w:p w14:paraId="1E608CDA" w14:textId="77777777" w:rsidR="00AF2043"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I admit that the Supreme Court has in the past made certain decisions in this general field that have been astonishing to me. A recent case in point was the decision in the Phillips case.</w:t>
      </w:r>
      <w:r w:rsidRPr="00AF2043">
        <w:rPr>
          <w:rFonts w:ascii="Palatino Linotype" w:hAnsi="Palatino Linotype"/>
          <w:sz w:val="20"/>
          <w:szCs w:val="20"/>
          <w:vertAlign w:val="superscript"/>
        </w:rPr>
        <w:footnoteReference w:id="2"/>
      </w:r>
      <w:r w:rsidRPr="00AF2043">
        <w:rPr>
          <w:rFonts w:ascii="Palatino Linotype" w:hAnsi="Palatino Linotype"/>
          <w:sz w:val="20"/>
          <w:szCs w:val="20"/>
        </w:rPr>
        <w:t xml:space="preserve"> Others, and </w:t>
      </w:r>
      <w:r w:rsidRPr="00AF2043">
        <w:rPr>
          <w:rFonts w:ascii="Palatino Linotype" w:hAnsi="Palatino Linotype"/>
          <w:sz w:val="20"/>
          <w:szCs w:val="20"/>
        </w:rPr>
        <w:lastRenderedPageBreak/>
        <w:t>older ones, involved “interstate commerce.” But until some future Supreme Court decision denies the right and responsibility of the Federal government to do certain things, you cannot possibly remove them from the political activities of the Federal government.</w:t>
      </w:r>
    </w:p>
    <w:p w14:paraId="7908392B" w14:textId="77777777" w:rsidR="00AF2043"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 xml:space="preserve">Now it is true that I believe this country is following a dangerous trend when it permits too great a degree of centralization of governmental functions. I oppose this—in some instances the fight is a rather desperate one. But to attain any success it is quite clear that the Federal government cannot avoid or escape responsibilities which the mass of the people firmly </w:t>
      </w:r>
      <w:r w:rsidRPr="00AF2043">
        <w:rPr>
          <w:rStyle w:val="italic"/>
          <w:rFonts w:ascii="Palatino Linotype" w:hAnsi="Palatino Linotype"/>
          <w:sz w:val="20"/>
          <w:szCs w:val="20"/>
        </w:rPr>
        <w:t>believe</w:t>
      </w:r>
      <w:r w:rsidRPr="00AF2043">
        <w:rPr>
          <w:rFonts w:ascii="Palatino Linotype" w:hAnsi="Palatino Linotype"/>
          <w:sz w:val="20"/>
          <w:szCs w:val="20"/>
        </w:rPr>
        <w:t xml:space="preserve"> should be undertaken by it. The political processes of our country are such that if a </w:t>
      </w:r>
      <w:r w:rsidRPr="00AF2043">
        <w:rPr>
          <w:rStyle w:val="italic"/>
          <w:rFonts w:ascii="Palatino Linotype" w:hAnsi="Palatino Linotype"/>
          <w:sz w:val="20"/>
          <w:szCs w:val="20"/>
        </w:rPr>
        <w:t>rule of reason</w:t>
      </w:r>
      <w:r w:rsidRPr="00AF2043">
        <w:rPr>
          <w:rFonts w:ascii="Palatino Linotype" w:hAnsi="Palatino Linotype"/>
          <w:sz w:val="20"/>
          <w:szCs w:val="20"/>
        </w:rPr>
        <w:t xml:space="preserve"> is not applied in this effort, we will lose everything—even to a possible and drastic change in the Constitution. This is what I mean by my constant insistence upon “moderation” in government. Should any political party attempt to abolish social security, unemployment insurance, and eliminate labor laws and farm programs, you would not hear of that party again in our political history. There is a tiny splinter group, of course, that believes you can do these things. Among them are H. L. Hunt (you possibly know his background),</w:t>
      </w:r>
      <w:r w:rsidRPr="00AF2043">
        <w:rPr>
          <w:rFonts w:ascii="Palatino Linotype" w:hAnsi="Palatino Linotype"/>
          <w:sz w:val="20"/>
          <w:szCs w:val="20"/>
          <w:vertAlign w:val="superscript"/>
        </w:rPr>
        <w:footnoteReference w:id="3"/>
      </w:r>
      <w:r w:rsidRPr="00AF2043">
        <w:rPr>
          <w:rFonts w:ascii="Palatino Linotype" w:hAnsi="Palatino Linotype"/>
          <w:sz w:val="20"/>
          <w:szCs w:val="20"/>
        </w:rPr>
        <w:t xml:space="preserve"> a few other Texas oil millionaires, and an occasional politician or </w:t>
      </w:r>
      <w:proofErr w:type="gramStart"/>
      <w:r w:rsidRPr="00AF2043">
        <w:rPr>
          <w:rFonts w:ascii="Palatino Linotype" w:hAnsi="Palatino Linotype"/>
          <w:sz w:val="20"/>
          <w:szCs w:val="20"/>
        </w:rPr>
        <w:t>business man</w:t>
      </w:r>
      <w:proofErr w:type="gramEnd"/>
      <w:r w:rsidRPr="00AF2043">
        <w:rPr>
          <w:rFonts w:ascii="Palatino Linotype" w:hAnsi="Palatino Linotype"/>
          <w:sz w:val="20"/>
          <w:szCs w:val="20"/>
        </w:rPr>
        <w:t xml:space="preserve"> from other areas. Their number is </w:t>
      </w:r>
      <w:proofErr w:type="gramStart"/>
      <w:r w:rsidRPr="00AF2043">
        <w:rPr>
          <w:rFonts w:ascii="Palatino Linotype" w:hAnsi="Palatino Linotype"/>
          <w:sz w:val="20"/>
          <w:szCs w:val="20"/>
        </w:rPr>
        <w:t>negligible</w:t>
      </w:r>
      <w:proofErr w:type="gramEnd"/>
      <w:r w:rsidRPr="00AF2043">
        <w:rPr>
          <w:rFonts w:ascii="Palatino Linotype" w:hAnsi="Palatino Linotype"/>
          <w:sz w:val="20"/>
          <w:szCs w:val="20"/>
        </w:rPr>
        <w:t xml:space="preserve"> and they are stupid.</w:t>
      </w:r>
    </w:p>
    <w:p w14:paraId="4B862CBE" w14:textId="77777777" w:rsidR="00AF2043"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To say, therefore, that in some instances the policies of this Administration have not been radically changed from those of the last is perfectly true</w:t>
      </w:r>
      <w:proofErr w:type="gramStart"/>
      <w:r w:rsidRPr="00AF2043">
        <w:rPr>
          <w:rFonts w:ascii="Palatino Linotype" w:hAnsi="Palatino Linotype"/>
          <w:sz w:val="20"/>
          <w:szCs w:val="20"/>
        </w:rPr>
        <w:t>. . . .</w:t>
      </w:r>
      <w:proofErr w:type="gramEnd"/>
    </w:p>
    <w:p w14:paraId="756F5441" w14:textId="77777777" w:rsidR="00AF2043"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 . .</w:t>
      </w:r>
    </w:p>
    <w:p w14:paraId="4B003CA5" w14:textId="77777777" w:rsidR="000B2E9C" w:rsidRPr="00AF2043" w:rsidRDefault="00AF2043" w:rsidP="00AF2043">
      <w:pPr>
        <w:pStyle w:val="PI"/>
        <w:spacing w:line="240" w:lineRule="auto"/>
        <w:rPr>
          <w:rFonts w:ascii="Palatino Linotype" w:hAnsi="Palatino Linotype"/>
          <w:sz w:val="20"/>
          <w:szCs w:val="20"/>
        </w:rPr>
      </w:pPr>
      <w:r w:rsidRPr="00AF2043">
        <w:rPr>
          <w:rFonts w:ascii="Palatino Linotype" w:hAnsi="Palatino Linotype"/>
          <w:sz w:val="20"/>
          <w:szCs w:val="20"/>
        </w:rPr>
        <w:t xml:space="preserve">No matter what the party is in power, it must perforce follow a program that is related to these general purposes and aspirations. But the </w:t>
      </w:r>
      <w:r w:rsidRPr="00AF2043">
        <w:rPr>
          <w:rStyle w:val="italic"/>
          <w:rFonts w:ascii="Palatino Linotype" w:hAnsi="Palatino Linotype"/>
          <w:sz w:val="20"/>
          <w:szCs w:val="20"/>
        </w:rPr>
        <w:t>great difference is in how it is done and, particularly, in the results achieved</w:t>
      </w:r>
      <w:r w:rsidRPr="00AF2043">
        <w:rPr>
          <w:rFonts w:ascii="Palatino Linotype" w:hAnsi="Palatino Linotype"/>
          <w:sz w:val="20"/>
          <w:szCs w:val="20"/>
        </w:rPr>
        <w:t>.</w:t>
      </w:r>
    </w:p>
    <w:sectPr w:rsidR="000B2E9C" w:rsidRPr="00AF2043"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DD8A6" w14:textId="77777777" w:rsidR="00882C44" w:rsidRDefault="00882C44" w:rsidP="00A2171E">
      <w:r>
        <w:separator/>
      </w:r>
    </w:p>
  </w:endnote>
  <w:endnote w:type="continuationSeparator" w:id="0">
    <w:p w14:paraId="56DD704B" w14:textId="77777777" w:rsidR="00882C44" w:rsidRDefault="00882C44"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9395" w14:textId="77777777" w:rsidR="00AC62DC" w:rsidRDefault="00772817">
    <w:pPr>
      <w:pStyle w:val="Footer"/>
      <w:jc w:val="center"/>
    </w:pPr>
    <w:r>
      <w:fldChar w:fldCharType="begin"/>
    </w:r>
    <w:r>
      <w:instrText xml:space="preserve"> PAGE   \* MERGEFORMAT </w:instrText>
    </w:r>
    <w:r>
      <w:fldChar w:fldCharType="separate"/>
    </w:r>
    <w:r w:rsidR="00AF2043">
      <w:rPr>
        <w:noProof/>
      </w:rPr>
      <w:t>1</w:t>
    </w:r>
    <w:r>
      <w:rPr>
        <w:noProof/>
      </w:rPr>
      <w:fldChar w:fldCharType="end"/>
    </w:r>
  </w:p>
  <w:p w14:paraId="641AB14A" w14:textId="77777777" w:rsidR="00AC62DC" w:rsidRDefault="0088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825B8" w14:textId="77777777" w:rsidR="00882C44" w:rsidRDefault="00882C44" w:rsidP="00A2171E">
      <w:r>
        <w:separator/>
      </w:r>
    </w:p>
  </w:footnote>
  <w:footnote w:type="continuationSeparator" w:id="0">
    <w:p w14:paraId="3BA5C362" w14:textId="77777777" w:rsidR="00882C44" w:rsidRDefault="00882C44" w:rsidP="00A2171E">
      <w:r>
        <w:continuationSeparator/>
      </w:r>
    </w:p>
  </w:footnote>
  <w:footnote w:id="1">
    <w:p w14:paraId="4470BAFB" w14:textId="77777777" w:rsidR="00A2171E" w:rsidRPr="00AF2043" w:rsidRDefault="00A2171E" w:rsidP="00AF2043">
      <w:pPr>
        <w:pStyle w:val="FootnoteText"/>
        <w:rPr>
          <w:rFonts w:ascii="Palatino Linotype" w:hAnsi="Palatino Linotype"/>
        </w:rPr>
      </w:pPr>
      <w:r w:rsidRPr="00AF2043">
        <w:rPr>
          <w:rStyle w:val="FootnoteReference"/>
          <w:rFonts w:ascii="Palatino Linotype" w:hAnsi="Palatino Linotype"/>
        </w:rPr>
        <w:footnoteRef/>
      </w:r>
      <w:r w:rsidRPr="00AF2043">
        <w:rPr>
          <w:rFonts w:ascii="Palatino Linotype" w:hAnsi="Palatino Linotype"/>
        </w:rPr>
        <w:t xml:space="preserve"> </w:t>
      </w:r>
      <w:r w:rsidR="00AF2043" w:rsidRPr="00AF2043">
        <w:rPr>
          <w:rFonts w:ascii="Palatino Linotype" w:hAnsi="Palatino Linotype"/>
        </w:rPr>
        <w:t xml:space="preserve">Excerpt taken from </w:t>
      </w:r>
      <w:r w:rsidR="00AF2043" w:rsidRPr="00AF2043">
        <w:rPr>
          <w:rStyle w:val="italic"/>
          <w:rFonts w:ascii="Palatino Linotype" w:hAnsi="Palatino Linotype"/>
        </w:rPr>
        <w:t>The Papers of Dwight David Eisenhower</w:t>
      </w:r>
      <w:r w:rsidR="00AF2043" w:rsidRPr="00AF2043">
        <w:rPr>
          <w:rFonts w:ascii="Palatino Linotype" w:hAnsi="Palatino Linotype"/>
        </w:rPr>
        <w:t xml:space="preserve">, ed. Louis Galambos and </w:t>
      </w:r>
      <w:proofErr w:type="spellStart"/>
      <w:r w:rsidR="00AF2043" w:rsidRPr="00AF2043">
        <w:rPr>
          <w:rFonts w:ascii="Palatino Linotype" w:hAnsi="Palatino Linotype"/>
        </w:rPr>
        <w:t>Daun</w:t>
      </w:r>
      <w:proofErr w:type="spellEnd"/>
      <w:r w:rsidR="00AF2043" w:rsidRPr="00AF2043">
        <w:rPr>
          <w:rFonts w:ascii="Palatino Linotype" w:hAnsi="Palatino Linotype"/>
        </w:rPr>
        <w:t xml:space="preserve"> van </w:t>
      </w:r>
      <w:proofErr w:type="spellStart"/>
      <w:r w:rsidR="00AF2043" w:rsidRPr="00AF2043">
        <w:rPr>
          <w:rFonts w:ascii="Palatino Linotype" w:hAnsi="Palatino Linotype"/>
        </w:rPr>
        <w:t>Van</w:t>
      </w:r>
      <w:proofErr w:type="spellEnd"/>
      <w:r w:rsidR="00AF2043" w:rsidRPr="00AF2043">
        <w:rPr>
          <w:rFonts w:ascii="Palatino Linotype" w:hAnsi="Palatino Linotype"/>
        </w:rPr>
        <w:t xml:space="preserve"> </w:t>
      </w:r>
      <w:proofErr w:type="spellStart"/>
      <w:r w:rsidR="00AF2043" w:rsidRPr="00AF2043">
        <w:rPr>
          <w:rFonts w:ascii="Palatino Linotype" w:hAnsi="Palatino Linotype"/>
        </w:rPr>
        <w:t>Ee</w:t>
      </w:r>
      <w:proofErr w:type="spellEnd"/>
      <w:r w:rsidR="00AF2043" w:rsidRPr="00AF2043">
        <w:rPr>
          <w:rFonts w:ascii="Palatino Linotype" w:hAnsi="Palatino Linotype"/>
        </w:rPr>
        <w:t>, vol. 15 (Baltimore: Johns Hopkins University Press, 1996), 391. © 1996 The Johns Hopkins University Press. Reprinted with permission of The Johns Hopkins University Press.</w:t>
      </w:r>
    </w:p>
  </w:footnote>
  <w:footnote w:id="2">
    <w:p w14:paraId="33C206DA" w14:textId="77777777" w:rsidR="00AF2043" w:rsidRPr="00AF2043" w:rsidRDefault="00AF2043" w:rsidP="00AF2043">
      <w:pPr>
        <w:pStyle w:val="FN"/>
        <w:spacing w:line="240" w:lineRule="auto"/>
        <w:rPr>
          <w:rFonts w:ascii="Palatino Linotype" w:hAnsi="Palatino Linotype"/>
        </w:rPr>
      </w:pPr>
      <w:r w:rsidRPr="00AF2043">
        <w:rPr>
          <w:rFonts w:ascii="Palatino Linotype" w:hAnsi="Palatino Linotype"/>
          <w:vertAlign w:val="superscript"/>
        </w:rPr>
        <w:footnoteRef/>
      </w:r>
      <w:r w:rsidRPr="00AF2043">
        <w:rPr>
          <w:rFonts w:ascii="Palatino Linotype" w:hAnsi="Palatino Linotype"/>
        </w:rPr>
        <w:t xml:space="preserve"> </w:t>
      </w:r>
      <w:r w:rsidRPr="00AF2043">
        <w:rPr>
          <w:rStyle w:val="italic"/>
          <w:rFonts w:ascii="Palatino Linotype" w:hAnsi="Palatino Linotype"/>
        </w:rPr>
        <w:t>Phillips Petroleum Co. v. Wisconsin,</w:t>
      </w:r>
      <w:r w:rsidRPr="00AF2043">
        <w:rPr>
          <w:rFonts w:ascii="Palatino Linotype" w:hAnsi="Palatino Linotype"/>
        </w:rPr>
        <w:t xml:space="preserve"> 347 U.S. 672 (1954) held that the Natural Gas Act extended beyond the companies that operated interstate pipelines and included companies that were producers of natural gas.</w:t>
      </w:r>
    </w:p>
  </w:footnote>
  <w:footnote w:id="3">
    <w:p w14:paraId="358DA09A" w14:textId="77777777" w:rsidR="00AF2043" w:rsidRPr="00AF2043" w:rsidRDefault="00AF2043" w:rsidP="00AF2043">
      <w:pPr>
        <w:pStyle w:val="FN"/>
        <w:spacing w:line="240" w:lineRule="auto"/>
        <w:rPr>
          <w:rFonts w:ascii="Palatino Linotype" w:hAnsi="Palatino Linotype"/>
        </w:rPr>
      </w:pPr>
      <w:r w:rsidRPr="00AF2043">
        <w:rPr>
          <w:rFonts w:ascii="Palatino Linotype" w:hAnsi="Palatino Linotype"/>
          <w:vertAlign w:val="superscript"/>
        </w:rPr>
        <w:footnoteRef/>
      </w:r>
      <w:r w:rsidRPr="00AF2043">
        <w:rPr>
          <w:rFonts w:ascii="Palatino Linotype" w:hAnsi="Palatino Linotype"/>
        </w:rPr>
        <w:t xml:space="preserve"> H. L. Hunt was at the time one of the wealthiest men in the world and a sponsor of hard-right political causes.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8EB9" w14:textId="77777777" w:rsidR="00AC62DC" w:rsidRPr="00BA4E0A" w:rsidRDefault="00882C44">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2054CD"/>
    <w:rsid w:val="00304583"/>
    <w:rsid w:val="003111A0"/>
    <w:rsid w:val="004B123B"/>
    <w:rsid w:val="004B6E7E"/>
    <w:rsid w:val="006F3EE2"/>
    <w:rsid w:val="00772817"/>
    <w:rsid w:val="007A4EE9"/>
    <w:rsid w:val="00882C44"/>
    <w:rsid w:val="00940F08"/>
    <w:rsid w:val="00976F03"/>
    <w:rsid w:val="00A2171E"/>
    <w:rsid w:val="00AB56EC"/>
    <w:rsid w:val="00AD7701"/>
    <w:rsid w:val="00AF2043"/>
    <w:rsid w:val="00C23836"/>
    <w:rsid w:val="00D07F76"/>
    <w:rsid w:val="00F043C4"/>
    <w:rsid w:val="00F5052F"/>
    <w:rsid w:val="00FF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B0E5"/>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 w:type="paragraph" w:customStyle="1" w:styleId="FGC">
    <w:name w:val="FGC"/>
    <w:basedOn w:val="Normal"/>
    <w:qFormat/>
    <w:rsid w:val="006F3EE2"/>
    <w:pPr>
      <w:spacing w:line="480" w:lineRule="auto"/>
    </w:pPr>
    <w:rPr>
      <w:rFonts w:eastAsia="Times New Roman"/>
      <w:color w:val="2F5496"/>
      <w:sz w:val="20"/>
      <w:szCs w:val="24"/>
    </w:rPr>
  </w:style>
  <w:style w:type="paragraph" w:customStyle="1" w:styleId="FGS">
    <w:name w:val="FGS"/>
    <w:rsid w:val="006F3EE2"/>
    <w:pPr>
      <w:spacing w:line="480" w:lineRule="auto"/>
    </w:pPr>
    <w:rPr>
      <w:rFonts w:ascii="Times New Roman" w:eastAsia="Times New Roman" w:hAnsi="Times New Roman" w:cs="Times New Roman"/>
      <w:color w:val="008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2020-12-21T19:28:00Z</dcterms:created>
  <dcterms:modified xsi:type="dcterms:W3CDTF">2020-12-21T19:28:00Z</dcterms:modified>
</cp:coreProperties>
</file>