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C3177" w14:textId="77777777" w:rsidR="00372667" w:rsidRPr="00C04D30" w:rsidRDefault="00372667" w:rsidP="00372667">
      <w:pPr>
        <w:spacing w:after="0" w:line="240" w:lineRule="auto"/>
        <w:jc w:val="center"/>
        <w:rPr>
          <w:rFonts w:ascii="Palatino Linotype" w:hAnsi="Palatino Linotype"/>
          <w:sz w:val="20"/>
          <w:szCs w:val="20"/>
        </w:rPr>
      </w:pPr>
      <w:bookmarkStart w:id="0" w:name="_Hlk57865269"/>
      <w:r w:rsidRPr="00C04D30">
        <w:rPr>
          <w:rFonts w:ascii="Palatino Linotype" w:hAnsi="Palatino Linotype"/>
          <w:sz w:val="20"/>
          <w:szCs w:val="20"/>
        </w:rPr>
        <w:t>AMERICAN CONSTITUTIONALISM</w:t>
      </w:r>
    </w:p>
    <w:p w14:paraId="0E225017" w14:textId="2444AD3F" w:rsidR="00372667" w:rsidRPr="00C04D30" w:rsidRDefault="00372667" w:rsidP="00372667">
      <w:pPr>
        <w:spacing w:after="0" w:line="240" w:lineRule="auto"/>
        <w:jc w:val="center"/>
        <w:rPr>
          <w:rFonts w:ascii="Palatino Linotype" w:hAnsi="Palatino Linotype"/>
          <w:sz w:val="20"/>
          <w:szCs w:val="20"/>
        </w:rPr>
      </w:pPr>
      <w:r w:rsidRPr="00C04D30">
        <w:rPr>
          <w:rFonts w:ascii="Palatino Linotype" w:hAnsi="Palatino Linotype"/>
          <w:sz w:val="20"/>
          <w:szCs w:val="20"/>
        </w:rPr>
        <w:t xml:space="preserve">VOLUME I:  </w:t>
      </w:r>
      <w:r w:rsidR="00E550BA">
        <w:rPr>
          <w:rFonts w:ascii="Palatino Linotype" w:hAnsi="Palatino Linotype"/>
          <w:sz w:val="20"/>
          <w:szCs w:val="20"/>
        </w:rPr>
        <w:t>STRUCTURES OF GOVERNMENT</w:t>
      </w:r>
    </w:p>
    <w:p w14:paraId="55673C20" w14:textId="77777777" w:rsidR="00372667" w:rsidRPr="00C04D30" w:rsidRDefault="00372667" w:rsidP="00372667">
      <w:pPr>
        <w:spacing w:after="0" w:line="240" w:lineRule="auto"/>
        <w:jc w:val="center"/>
        <w:rPr>
          <w:rFonts w:ascii="Palatino Linotype" w:hAnsi="Palatino Linotype"/>
          <w:sz w:val="20"/>
          <w:szCs w:val="20"/>
        </w:rPr>
      </w:pPr>
      <w:r w:rsidRPr="00C04D30">
        <w:rPr>
          <w:rFonts w:ascii="Palatino Linotype" w:hAnsi="Palatino Linotype"/>
          <w:sz w:val="20"/>
          <w:szCs w:val="20"/>
        </w:rPr>
        <w:t>Howard Gillman • Mark A. Graber • Keith E. Whittington</w:t>
      </w:r>
    </w:p>
    <w:p w14:paraId="747A732F" w14:textId="77777777" w:rsidR="00372667" w:rsidRPr="00C04D30" w:rsidRDefault="00372667" w:rsidP="00372667">
      <w:pPr>
        <w:spacing w:after="0" w:line="240" w:lineRule="auto"/>
        <w:jc w:val="center"/>
        <w:rPr>
          <w:rFonts w:ascii="Palatino Linotype" w:hAnsi="Palatino Linotype"/>
          <w:sz w:val="20"/>
          <w:szCs w:val="20"/>
        </w:rPr>
      </w:pPr>
    </w:p>
    <w:p w14:paraId="18A1D0EE" w14:textId="77777777" w:rsidR="00372667" w:rsidRPr="00C04D30" w:rsidRDefault="00372667" w:rsidP="00372667">
      <w:pPr>
        <w:spacing w:after="0" w:line="240" w:lineRule="auto"/>
        <w:jc w:val="center"/>
        <w:rPr>
          <w:rFonts w:ascii="Palatino Linotype" w:hAnsi="Palatino Linotype"/>
          <w:sz w:val="20"/>
          <w:szCs w:val="20"/>
        </w:rPr>
      </w:pPr>
      <w:r w:rsidRPr="00C04D30">
        <w:rPr>
          <w:rFonts w:ascii="Palatino Linotype" w:hAnsi="Palatino Linotype"/>
          <w:sz w:val="20"/>
          <w:szCs w:val="20"/>
        </w:rPr>
        <w:t>Supplementary Material</w:t>
      </w:r>
    </w:p>
    <w:p w14:paraId="12D901DF" w14:textId="77777777" w:rsidR="00372667" w:rsidRPr="00C04D30" w:rsidRDefault="00372667" w:rsidP="00372667">
      <w:pPr>
        <w:spacing w:after="0" w:line="240" w:lineRule="auto"/>
        <w:jc w:val="center"/>
        <w:rPr>
          <w:rFonts w:ascii="Palatino Linotype" w:hAnsi="Palatino Linotype"/>
          <w:sz w:val="20"/>
          <w:szCs w:val="20"/>
        </w:rPr>
      </w:pPr>
    </w:p>
    <w:p w14:paraId="2A297F76" w14:textId="0D9A5C5C" w:rsidR="00372667" w:rsidRPr="00C04D30" w:rsidRDefault="00372667" w:rsidP="00372667">
      <w:pPr>
        <w:spacing w:after="0" w:line="240" w:lineRule="auto"/>
        <w:jc w:val="center"/>
        <w:rPr>
          <w:rFonts w:ascii="Palatino Linotype" w:hAnsi="Palatino Linotype"/>
          <w:sz w:val="20"/>
          <w:szCs w:val="20"/>
        </w:rPr>
      </w:pPr>
      <w:r w:rsidRPr="00C04D30">
        <w:rPr>
          <w:rFonts w:ascii="Palatino Linotype" w:hAnsi="Palatino Linotype"/>
          <w:sz w:val="20"/>
          <w:szCs w:val="20"/>
        </w:rPr>
        <w:t xml:space="preserve">Chapter 12:  The Contemporary Era – </w:t>
      </w:r>
      <w:r w:rsidR="009A5D1C" w:rsidRPr="00C04D30">
        <w:rPr>
          <w:rFonts w:ascii="Palatino Linotype" w:hAnsi="Palatino Linotype"/>
          <w:sz w:val="20"/>
          <w:szCs w:val="20"/>
        </w:rPr>
        <w:t xml:space="preserve">Judicial Power and </w:t>
      </w:r>
      <w:r w:rsidRPr="00C04D30">
        <w:rPr>
          <w:rFonts w:ascii="Palatino Linotype" w:hAnsi="Palatino Linotype"/>
          <w:sz w:val="20"/>
          <w:szCs w:val="20"/>
        </w:rPr>
        <w:t>Constitutional Authority/Judicial Review</w:t>
      </w:r>
    </w:p>
    <w:p w14:paraId="150B953B" w14:textId="77777777" w:rsidR="00372667" w:rsidRPr="00C04D30" w:rsidRDefault="00372667" w:rsidP="00372667">
      <w:pPr>
        <w:spacing w:after="0" w:line="240" w:lineRule="auto"/>
        <w:jc w:val="center"/>
        <w:rPr>
          <w:rFonts w:ascii="Palatino Linotype" w:hAnsi="Palatino Linotype"/>
          <w:sz w:val="20"/>
          <w:szCs w:val="20"/>
        </w:rPr>
      </w:pPr>
    </w:p>
    <w:p w14:paraId="7868B738" w14:textId="77777777" w:rsidR="00372667" w:rsidRPr="00C04D30" w:rsidRDefault="00C779DD" w:rsidP="00372667">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036F47DA">
          <v:rect id="_x0000_i1025" style="width:468pt;height:1.5pt" o:hralign="center" o:hrstd="t" o:hrnoshade="t" o:hr="t" fillcolor="black [3213]" stroked="f"/>
        </w:pict>
      </w:r>
    </w:p>
    <w:p w14:paraId="6449E7C9" w14:textId="3FDD3852" w:rsidR="00372667" w:rsidRPr="00C04D30" w:rsidRDefault="00372667" w:rsidP="00372667">
      <w:pPr>
        <w:shd w:val="clear" w:color="auto" w:fill="FFFFFF"/>
        <w:spacing w:after="0" w:line="240" w:lineRule="auto"/>
        <w:jc w:val="center"/>
        <w:textAlignment w:val="baseline"/>
        <w:rPr>
          <w:rFonts w:ascii="Palatino Linotype" w:eastAsia="Times New Roman" w:hAnsi="Palatino Linotype" w:cs="Times New Roman"/>
          <w:sz w:val="20"/>
          <w:szCs w:val="20"/>
        </w:rPr>
      </w:pPr>
      <w:bookmarkStart w:id="1" w:name="_Hlk58136623"/>
      <w:r w:rsidRPr="00C04D30">
        <w:rPr>
          <w:rFonts w:ascii="Palatino Linotype" w:eastAsia="Times New Roman" w:hAnsi="Palatino Linotype" w:cs="Times New Roman"/>
          <w:b/>
          <w:bCs/>
          <w:sz w:val="20"/>
          <w:szCs w:val="20"/>
        </w:rPr>
        <w:t>Guedes v. Bureau of Alcohol, Tobacco, Firearms and Explosives</w:t>
      </w:r>
      <w:bookmarkEnd w:id="1"/>
      <w:r w:rsidRPr="00C04D30">
        <w:rPr>
          <w:rFonts w:ascii="Palatino Linotype" w:eastAsia="Times New Roman" w:hAnsi="Palatino Linotype" w:cs="Times New Roman"/>
          <w:b/>
          <w:bCs/>
          <w:sz w:val="20"/>
          <w:szCs w:val="20"/>
        </w:rPr>
        <w:t>, 140 S. Ct. 789</w:t>
      </w:r>
      <w:r w:rsidRPr="00C04D30">
        <w:rPr>
          <w:rFonts w:ascii="Palatino Linotype" w:eastAsia="Times New Roman" w:hAnsi="Palatino Linotype" w:cs="Times New Roman"/>
          <w:sz w:val="20"/>
          <w:szCs w:val="20"/>
        </w:rPr>
        <w:t xml:space="preserve"> (2020)</w:t>
      </w:r>
    </w:p>
    <w:p w14:paraId="024E0162" w14:textId="77777777" w:rsidR="00372667" w:rsidRPr="00C04D30" w:rsidRDefault="00C779DD" w:rsidP="00372667">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5F241DE8">
          <v:rect id="_x0000_i1026" style="width:468pt;height:1.5pt" o:hralign="center" o:hrstd="t" o:hrnoshade="t" o:hr="t" fillcolor="black [3213]" stroked="f"/>
        </w:pict>
      </w:r>
    </w:p>
    <w:p w14:paraId="0597CDA5" w14:textId="77777777" w:rsidR="00372667" w:rsidRPr="00C04D30" w:rsidRDefault="00372667" w:rsidP="00372667">
      <w:pPr>
        <w:spacing w:after="0" w:line="240" w:lineRule="auto"/>
        <w:rPr>
          <w:rFonts w:ascii="Palatino Linotype" w:eastAsia="Times New Roman" w:hAnsi="Palatino Linotype" w:cs="Times New Roman"/>
          <w:sz w:val="20"/>
          <w:szCs w:val="20"/>
        </w:rPr>
      </w:pPr>
    </w:p>
    <w:p w14:paraId="2BB8D989" w14:textId="41B85894" w:rsidR="00372667" w:rsidRPr="00C04D30" w:rsidRDefault="00372667" w:rsidP="00ED4D3A">
      <w:pPr>
        <w:spacing w:after="0" w:line="240" w:lineRule="auto"/>
        <w:rPr>
          <w:rFonts w:ascii="Palatino Linotype" w:eastAsia="Times New Roman" w:hAnsi="Palatino Linotype" w:cs="Times New Roman"/>
          <w:i/>
          <w:iCs/>
          <w:sz w:val="20"/>
          <w:szCs w:val="20"/>
          <w:bdr w:val="none" w:sz="0" w:space="0" w:color="auto" w:frame="1"/>
        </w:rPr>
      </w:pPr>
      <w:r w:rsidRPr="00C04D30">
        <w:rPr>
          <w:rFonts w:ascii="Palatino Linotype" w:hAnsi="Palatino Linotype" w:cs="Times New Roman"/>
          <w:i/>
          <w:iCs/>
          <w:sz w:val="20"/>
          <w:szCs w:val="20"/>
        </w:rPr>
        <w:t xml:space="preserve">Daniel Guedes objected to a decision by the Bureau of Tobacco, Firearms and Explosives to classify bump stock devices as machine guns in the wake of a mass shooting in Las Vegas in one a shooter armed with a bump-stock enhanced semi-automatic weapon murdered 58 people.  </w:t>
      </w:r>
      <w:proofErr w:type="spellStart"/>
      <w:r w:rsidRPr="00C04D30">
        <w:rPr>
          <w:rFonts w:ascii="Palatino Linotype" w:hAnsi="Palatino Linotype" w:cs="Times New Roman"/>
          <w:i/>
          <w:iCs/>
          <w:sz w:val="20"/>
          <w:szCs w:val="20"/>
        </w:rPr>
        <w:t>Guedas</w:t>
      </w:r>
      <w:proofErr w:type="spellEnd"/>
      <w:r w:rsidRPr="00C04D30">
        <w:rPr>
          <w:rFonts w:ascii="Palatino Linotype" w:hAnsi="Palatino Linotype" w:cs="Times New Roman"/>
          <w:i/>
          <w:iCs/>
          <w:sz w:val="20"/>
          <w:szCs w:val="20"/>
        </w:rPr>
        <w:t xml:space="preserve"> may many objections to that rule, including the claim that the Bureau was not authorized to reclassify bump stock devices as machine guns under the National Firearms Act and the Gun Control Act.  The local federal district court applied what is called </w:t>
      </w:r>
      <w:r w:rsidRPr="00C04D30">
        <w:rPr>
          <w:rFonts w:ascii="Palatino Linotype" w:hAnsi="Palatino Linotype" w:cs="Times New Roman"/>
          <w:sz w:val="20"/>
          <w:szCs w:val="20"/>
        </w:rPr>
        <w:t>Ch</w:t>
      </w:r>
      <w:r w:rsidR="00ED4D3A" w:rsidRPr="00C04D30">
        <w:rPr>
          <w:rFonts w:ascii="Palatino Linotype" w:hAnsi="Palatino Linotype" w:cs="Times New Roman"/>
          <w:sz w:val="20"/>
          <w:szCs w:val="20"/>
        </w:rPr>
        <w:t>e</w:t>
      </w:r>
      <w:r w:rsidRPr="00C04D30">
        <w:rPr>
          <w:rFonts w:ascii="Palatino Linotype" w:hAnsi="Palatino Linotype" w:cs="Times New Roman"/>
          <w:sz w:val="20"/>
          <w:szCs w:val="20"/>
        </w:rPr>
        <w:t>v</w:t>
      </w:r>
      <w:r w:rsidR="00ED4D3A" w:rsidRPr="00C04D30">
        <w:rPr>
          <w:rFonts w:ascii="Palatino Linotype" w:hAnsi="Palatino Linotype" w:cs="Times New Roman"/>
          <w:sz w:val="20"/>
          <w:szCs w:val="20"/>
        </w:rPr>
        <w:t>r</w:t>
      </w:r>
      <w:r w:rsidRPr="00C04D30">
        <w:rPr>
          <w:rFonts w:ascii="Palatino Linotype" w:hAnsi="Palatino Linotype" w:cs="Times New Roman"/>
          <w:sz w:val="20"/>
          <w:szCs w:val="20"/>
        </w:rPr>
        <w:t xml:space="preserve">on </w:t>
      </w:r>
      <w:r w:rsidRPr="00C04D30">
        <w:rPr>
          <w:rFonts w:ascii="Palatino Linotype" w:hAnsi="Palatino Linotype" w:cs="Times New Roman"/>
          <w:i/>
          <w:iCs/>
          <w:sz w:val="20"/>
          <w:szCs w:val="20"/>
        </w:rPr>
        <w:t xml:space="preserve">deference.  This doctrine, which dates from </w:t>
      </w:r>
      <w:r w:rsidRPr="00C04D30">
        <w:rPr>
          <w:rFonts w:ascii="Palatino Linotype" w:eastAsia="Times New Roman" w:hAnsi="Palatino Linotype" w:cs="Times New Roman"/>
          <w:sz w:val="20"/>
          <w:szCs w:val="20"/>
          <w:bdr w:val="none" w:sz="0" w:space="0" w:color="auto" w:frame="1"/>
        </w:rPr>
        <w:t xml:space="preserve">Chevron U.S.A. Inc. v. Natural Resources Defense Council, Inc. (1984) </w:t>
      </w:r>
      <w:r w:rsidRPr="00C04D30">
        <w:rPr>
          <w:rFonts w:ascii="Palatino Linotype" w:eastAsia="Times New Roman" w:hAnsi="Palatino Linotype" w:cs="Times New Roman"/>
          <w:i/>
          <w:iCs/>
          <w:sz w:val="20"/>
          <w:szCs w:val="20"/>
          <w:bdr w:val="none" w:sz="0" w:space="0" w:color="auto" w:frame="1"/>
        </w:rPr>
        <w:t xml:space="preserve">requires federal courts to defer to an agency’s reasonable interpretation of the federal law, even if in the absence of that interpretation, the federal court might reach a different interpretive conclusion.  </w:t>
      </w:r>
      <w:r w:rsidR="00ED4D3A" w:rsidRPr="00C04D30">
        <w:rPr>
          <w:rFonts w:ascii="Palatino Linotype" w:eastAsia="Times New Roman" w:hAnsi="Palatino Linotype" w:cs="Times New Roman"/>
          <w:i/>
          <w:iCs/>
          <w:sz w:val="20"/>
          <w:szCs w:val="20"/>
          <w:bdr w:val="none" w:sz="0" w:space="0" w:color="auto" w:frame="1"/>
        </w:rPr>
        <w:t xml:space="preserve">That decision was affirmed by the Court of Appeals for the District of Columbia.  </w:t>
      </w:r>
      <w:proofErr w:type="spellStart"/>
      <w:r w:rsidR="00ED4D3A" w:rsidRPr="00C04D30">
        <w:rPr>
          <w:rFonts w:ascii="Palatino Linotype" w:eastAsia="Times New Roman" w:hAnsi="Palatino Linotype" w:cs="Times New Roman"/>
          <w:i/>
          <w:iCs/>
          <w:sz w:val="20"/>
          <w:szCs w:val="20"/>
          <w:bdr w:val="none" w:sz="0" w:space="0" w:color="auto" w:frame="1"/>
        </w:rPr>
        <w:t>Guedas</w:t>
      </w:r>
      <w:proofErr w:type="spellEnd"/>
      <w:r w:rsidR="00ED4D3A" w:rsidRPr="00C04D30">
        <w:rPr>
          <w:rFonts w:ascii="Palatino Linotype" w:eastAsia="Times New Roman" w:hAnsi="Palatino Linotype" w:cs="Times New Roman"/>
          <w:i/>
          <w:iCs/>
          <w:sz w:val="20"/>
          <w:szCs w:val="20"/>
          <w:bdr w:val="none" w:sz="0" w:space="0" w:color="auto" w:frame="1"/>
        </w:rPr>
        <w:t xml:space="preserve"> appealed to the Supreme Court.</w:t>
      </w:r>
    </w:p>
    <w:p w14:paraId="582AF08B" w14:textId="06925AD8" w:rsidR="00ED4D3A" w:rsidRPr="00C04D30" w:rsidRDefault="00ED4D3A" w:rsidP="00ED4D3A">
      <w:pPr>
        <w:spacing w:after="0" w:line="240" w:lineRule="auto"/>
        <w:ind w:firstLine="720"/>
        <w:rPr>
          <w:rFonts w:ascii="Palatino Linotype" w:hAnsi="Palatino Linotype"/>
          <w:i/>
          <w:iCs/>
          <w:sz w:val="20"/>
          <w:szCs w:val="20"/>
        </w:rPr>
      </w:pPr>
      <w:r w:rsidRPr="00C04D30">
        <w:rPr>
          <w:rFonts w:ascii="Palatino Linotype" w:eastAsia="Times New Roman" w:hAnsi="Palatino Linotype" w:cs="Times New Roman"/>
          <w:i/>
          <w:iCs/>
          <w:sz w:val="20"/>
          <w:szCs w:val="20"/>
          <w:bdr w:val="none" w:sz="0" w:space="0" w:color="auto" w:frame="1"/>
        </w:rPr>
        <w:t xml:space="preserve">The Supreme Court denied certiorari.  Justice Neil Gorsuch, however, issued a statement called on the justices to rethink </w:t>
      </w:r>
      <w:r w:rsidRPr="00C04D30">
        <w:rPr>
          <w:rFonts w:ascii="Palatino Linotype" w:eastAsia="Times New Roman" w:hAnsi="Palatino Linotype" w:cs="Times New Roman"/>
          <w:sz w:val="20"/>
          <w:szCs w:val="20"/>
          <w:bdr w:val="none" w:sz="0" w:space="0" w:color="auto" w:frame="1"/>
        </w:rPr>
        <w:t xml:space="preserve">Chevron </w:t>
      </w:r>
      <w:r w:rsidRPr="00C04D30">
        <w:rPr>
          <w:rFonts w:ascii="Palatino Linotype" w:eastAsia="Times New Roman" w:hAnsi="Palatino Linotype" w:cs="Times New Roman"/>
          <w:i/>
          <w:iCs/>
          <w:sz w:val="20"/>
          <w:szCs w:val="20"/>
          <w:bdr w:val="none" w:sz="0" w:space="0" w:color="auto" w:frame="1"/>
        </w:rPr>
        <w:t xml:space="preserve">deference in the circumstances of this case and more broadly.  What are Justice Gorsuch’s arguments against </w:t>
      </w:r>
      <w:r w:rsidRPr="00C04D30">
        <w:rPr>
          <w:rFonts w:ascii="Palatino Linotype" w:eastAsia="Times New Roman" w:hAnsi="Palatino Linotype" w:cs="Times New Roman"/>
          <w:sz w:val="20"/>
          <w:szCs w:val="20"/>
          <w:bdr w:val="none" w:sz="0" w:space="0" w:color="auto" w:frame="1"/>
        </w:rPr>
        <w:t>Chevron</w:t>
      </w:r>
      <w:r w:rsidRPr="00C04D30">
        <w:rPr>
          <w:rFonts w:ascii="Palatino Linotype" w:eastAsia="Times New Roman" w:hAnsi="Palatino Linotype" w:cs="Times New Roman"/>
          <w:i/>
          <w:iCs/>
          <w:sz w:val="20"/>
          <w:szCs w:val="20"/>
          <w:bdr w:val="none" w:sz="0" w:space="0" w:color="auto" w:frame="1"/>
        </w:rPr>
        <w:t xml:space="preserve"> deference?  How much of </w:t>
      </w:r>
      <w:r w:rsidRPr="00C04D30">
        <w:rPr>
          <w:rFonts w:ascii="Palatino Linotype" w:eastAsia="Times New Roman" w:hAnsi="Palatino Linotype" w:cs="Times New Roman"/>
          <w:sz w:val="20"/>
          <w:szCs w:val="20"/>
          <w:bdr w:val="none" w:sz="0" w:space="0" w:color="auto" w:frame="1"/>
        </w:rPr>
        <w:t>Chevron</w:t>
      </w:r>
      <w:r w:rsidRPr="00C04D30">
        <w:rPr>
          <w:rFonts w:ascii="Palatino Linotype" w:eastAsia="Times New Roman" w:hAnsi="Palatino Linotype" w:cs="Times New Roman"/>
          <w:i/>
          <w:iCs/>
          <w:sz w:val="20"/>
          <w:szCs w:val="20"/>
          <w:bdr w:val="none" w:sz="0" w:space="0" w:color="auto" w:frame="1"/>
        </w:rPr>
        <w:t xml:space="preserve"> deference to they cover?  Are they sound?  </w:t>
      </w:r>
      <w:r w:rsidRPr="00C04D30">
        <w:rPr>
          <w:rFonts w:ascii="Palatino Linotype" w:eastAsia="Times New Roman" w:hAnsi="Palatino Linotype" w:cs="Times New Roman"/>
          <w:sz w:val="20"/>
          <w:szCs w:val="20"/>
          <w:bdr w:val="none" w:sz="0" w:space="0" w:color="auto" w:frame="1"/>
        </w:rPr>
        <w:t xml:space="preserve">Chevron </w:t>
      </w:r>
      <w:r w:rsidRPr="00C04D30">
        <w:rPr>
          <w:rFonts w:ascii="Palatino Linotype" w:eastAsia="Times New Roman" w:hAnsi="Palatino Linotype" w:cs="Times New Roman"/>
          <w:i/>
          <w:iCs/>
          <w:sz w:val="20"/>
          <w:szCs w:val="20"/>
          <w:bdr w:val="none" w:sz="0" w:space="0" w:color="auto" w:frame="1"/>
        </w:rPr>
        <w:t xml:space="preserve">at one point was considered a conservative doctrine.  Why are contemporary conservatives questioning that doctrine </w:t>
      </w:r>
      <w:proofErr w:type="gramStart"/>
      <w:r w:rsidRPr="00C04D30">
        <w:rPr>
          <w:rFonts w:ascii="Palatino Linotype" w:eastAsia="Times New Roman" w:hAnsi="Palatino Linotype" w:cs="Times New Roman"/>
          <w:i/>
          <w:iCs/>
          <w:sz w:val="20"/>
          <w:szCs w:val="20"/>
          <w:bdr w:val="none" w:sz="0" w:space="0" w:color="auto" w:frame="1"/>
        </w:rPr>
        <w:t>at this time</w:t>
      </w:r>
      <w:proofErr w:type="gramEnd"/>
      <w:r w:rsidRPr="00C04D30">
        <w:rPr>
          <w:rFonts w:ascii="Palatino Linotype" w:eastAsia="Times New Roman" w:hAnsi="Palatino Linotype" w:cs="Times New Roman"/>
          <w:i/>
          <w:iCs/>
          <w:sz w:val="20"/>
          <w:szCs w:val="20"/>
          <w:bdr w:val="none" w:sz="0" w:space="0" w:color="auto" w:frame="1"/>
        </w:rPr>
        <w:t xml:space="preserve"> in American history?  What is the proper liberal position on </w:t>
      </w:r>
      <w:r w:rsidRPr="00C04D30">
        <w:rPr>
          <w:rFonts w:ascii="Palatino Linotype" w:eastAsia="Times New Roman" w:hAnsi="Palatino Linotype" w:cs="Times New Roman"/>
          <w:sz w:val="20"/>
          <w:szCs w:val="20"/>
          <w:bdr w:val="none" w:sz="0" w:space="0" w:color="auto" w:frame="1"/>
        </w:rPr>
        <w:t xml:space="preserve">Chevron </w:t>
      </w:r>
      <w:r w:rsidRPr="00C04D30">
        <w:rPr>
          <w:rFonts w:ascii="Palatino Linotype" w:eastAsia="Times New Roman" w:hAnsi="Palatino Linotype" w:cs="Times New Roman"/>
          <w:i/>
          <w:iCs/>
          <w:sz w:val="20"/>
          <w:szCs w:val="20"/>
          <w:bdr w:val="none" w:sz="0" w:space="0" w:color="auto" w:frame="1"/>
        </w:rPr>
        <w:t>deference?</w:t>
      </w:r>
    </w:p>
    <w:bookmarkEnd w:id="0"/>
    <w:p w14:paraId="3C57B0CD" w14:textId="77777777" w:rsidR="00ED4D3A" w:rsidRPr="00C04D30" w:rsidRDefault="00ED4D3A" w:rsidP="00372667">
      <w:pPr>
        <w:shd w:val="clear" w:color="auto" w:fill="FFFFFF"/>
        <w:spacing w:after="0" w:line="240" w:lineRule="auto"/>
        <w:textAlignment w:val="baseline"/>
        <w:rPr>
          <w:rFonts w:ascii="Palatino Linotype" w:eastAsia="Times New Roman" w:hAnsi="Palatino Linotype" w:cs="Times New Roman"/>
          <w:sz w:val="20"/>
          <w:szCs w:val="20"/>
        </w:rPr>
      </w:pPr>
    </w:p>
    <w:p w14:paraId="33D3C69E" w14:textId="77777777" w:rsidR="00372667" w:rsidRPr="00C04D30" w:rsidRDefault="00372667" w:rsidP="00372667">
      <w:pPr>
        <w:shd w:val="clear" w:color="auto" w:fill="FFFFFF"/>
        <w:spacing w:after="0" w:line="240" w:lineRule="auto"/>
        <w:textAlignment w:val="baseline"/>
        <w:rPr>
          <w:rFonts w:ascii="Palatino Linotype" w:eastAsia="Times New Roman" w:hAnsi="Palatino Linotype" w:cs="Times New Roman"/>
          <w:sz w:val="20"/>
          <w:szCs w:val="20"/>
        </w:rPr>
      </w:pPr>
      <w:r w:rsidRPr="00C04D30">
        <w:rPr>
          <w:rFonts w:ascii="Palatino Linotype" w:eastAsia="Times New Roman" w:hAnsi="Palatino Linotype" w:cs="Times New Roman"/>
          <w:sz w:val="20"/>
          <w:szCs w:val="20"/>
        </w:rPr>
        <w:t>The petition for a writ of certiorari is denied.</w:t>
      </w:r>
    </w:p>
    <w:p w14:paraId="5E775F35" w14:textId="77777777" w:rsidR="00372667" w:rsidRPr="00C04D30" w:rsidRDefault="00372667" w:rsidP="00372667">
      <w:pPr>
        <w:shd w:val="clear" w:color="auto" w:fill="FFFFFF"/>
        <w:spacing w:after="0" w:line="240" w:lineRule="auto"/>
        <w:textAlignment w:val="baseline"/>
        <w:rPr>
          <w:rFonts w:ascii="Palatino Linotype" w:eastAsia="Times New Roman" w:hAnsi="Palatino Linotype" w:cs="Times New Roman"/>
          <w:sz w:val="20"/>
          <w:szCs w:val="20"/>
        </w:rPr>
      </w:pPr>
    </w:p>
    <w:p w14:paraId="248C5CDB" w14:textId="77777777" w:rsidR="00372667" w:rsidRPr="00C04D30" w:rsidRDefault="00372667" w:rsidP="00372667">
      <w:pPr>
        <w:shd w:val="clear" w:color="auto" w:fill="FFFFFF"/>
        <w:spacing w:after="0" w:line="240" w:lineRule="auto"/>
        <w:textAlignment w:val="baseline"/>
        <w:rPr>
          <w:rFonts w:ascii="Palatino Linotype" w:eastAsia="Times New Roman" w:hAnsi="Palatino Linotype" w:cs="Times New Roman"/>
          <w:sz w:val="20"/>
          <w:szCs w:val="20"/>
        </w:rPr>
      </w:pPr>
      <w:r w:rsidRPr="00C04D30">
        <w:rPr>
          <w:rFonts w:ascii="Palatino Linotype" w:eastAsia="Times New Roman" w:hAnsi="Palatino Linotype" w:cs="Times New Roman"/>
          <w:sz w:val="20"/>
          <w:szCs w:val="20"/>
        </w:rPr>
        <w:t>Statement of Justice </w:t>
      </w:r>
      <w:hyperlink r:id="rId4" w:history="1">
        <w:r w:rsidRPr="00C04D30">
          <w:rPr>
            <w:rFonts w:ascii="Palatino Linotype" w:eastAsia="Times New Roman" w:hAnsi="Palatino Linotype" w:cs="Times New Roman"/>
            <w:sz w:val="20"/>
            <w:szCs w:val="20"/>
            <w:bdr w:val="none" w:sz="0" w:space="0" w:color="auto" w:frame="1"/>
          </w:rPr>
          <w:t>GORSUCH</w:t>
        </w:r>
      </w:hyperlink>
      <w:r w:rsidRPr="00C04D30">
        <w:rPr>
          <w:rFonts w:ascii="Palatino Linotype" w:eastAsia="Times New Roman" w:hAnsi="Palatino Linotype" w:cs="Times New Roman"/>
          <w:sz w:val="20"/>
          <w:szCs w:val="20"/>
        </w:rPr>
        <w:t>.</w:t>
      </w:r>
    </w:p>
    <w:p w14:paraId="37D306EA" w14:textId="77777777" w:rsidR="00372667" w:rsidRPr="00C04D30" w:rsidRDefault="00372667" w:rsidP="00372667">
      <w:pPr>
        <w:shd w:val="clear" w:color="auto" w:fill="FFFFFF"/>
        <w:spacing w:after="0" w:line="240" w:lineRule="auto"/>
        <w:textAlignment w:val="baseline"/>
        <w:rPr>
          <w:rFonts w:ascii="Palatino Linotype" w:eastAsia="Times New Roman" w:hAnsi="Palatino Linotype" w:cs="Times New Roman"/>
          <w:sz w:val="20"/>
          <w:szCs w:val="20"/>
        </w:rPr>
      </w:pPr>
    </w:p>
    <w:p w14:paraId="35BD122E" w14:textId="77777777" w:rsidR="00372667" w:rsidRPr="00C04D30" w:rsidRDefault="00372667" w:rsidP="00372667">
      <w:pPr>
        <w:shd w:val="clear" w:color="auto" w:fill="FFFFFF"/>
        <w:spacing w:after="0" w:line="240" w:lineRule="auto"/>
        <w:textAlignment w:val="baseline"/>
        <w:rPr>
          <w:rFonts w:ascii="Palatino Linotype" w:eastAsia="Times New Roman" w:hAnsi="Palatino Linotype" w:cs="Times New Roman"/>
          <w:sz w:val="20"/>
          <w:szCs w:val="20"/>
        </w:rPr>
      </w:pPr>
      <w:r w:rsidRPr="00C04D30">
        <w:rPr>
          <w:rFonts w:ascii="Palatino Linotype" w:eastAsia="Times New Roman" w:hAnsi="Palatino Linotype" w:cs="Times New Roman"/>
          <w:sz w:val="20"/>
          <w:szCs w:val="20"/>
        </w:rPr>
        <w:t xml:space="preserve">Does owning a bump stock expose a citizen to a decade in federal prison? For years, the government </w:t>
      </w:r>
      <w:proofErr w:type="gramStart"/>
      <w:r w:rsidRPr="00C04D30">
        <w:rPr>
          <w:rFonts w:ascii="Palatino Linotype" w:eastAsia="Times New Roman" w:hAnsi="Palatino Linotype" w:cs="Times New Roman"/>
          <w:sz w:val="20"/>
          <w:szCs w:val="20"/>
        </w:rPr>
        <w:t>didn't</w:t>
      </w:r>
      <w:proofErr w:type="gramEnd"/>
      <w:r w:rsidRPr="00C04D30">
        <w:rPr>
          <w:rFonts w:ascii="Palatino Linotype" w:eastAsia="Times New Roman" w:hAnsi="Palatino Linotype" w:cs="Times New Roman"/>
          <w:sz w:val="20"/>
          <w:szCs w:val="20"/>
        </w:rPr>
        <w:t xml:space="preserve"> think so. But recently the Bureau of Alcohol, Tobacco, Firearms and Explosives changed its mind. Now, according to a new interpretive rule from the agency, owning a bump stock is forbidden by a longstanding federal statute that outlaws the “possession [of] a machinegun.” . . .  Contrary to the court of </w:t>
      </w:r>
      <w:proofErr w:type="spellStart"/>
      <w:r w:rsidRPr="00C04D30">
        <w:rPr>
          <w:rFonts w:ascii="Palatino Linotype" w:eastAsia="Times New Roman" w:hAnsi="Palatino Linotype" w:cs="Times New Roman"/>
          <w:sz w:val="20"/>
          <w:szCs w:val="20"/>
        </w:rPr>
        <w:t>appeals's</w:t>
      </w:r>
      <w:proofErr w:type="spellEnd"/>
      <w:r w:rsidRPr="00C04D30">
        <w:rPr>
          <w:rFonts w:ascii="Palatino Linotype" w:eastAsia="Times New Roman" w:hAnsi="Palatino Linotype" w:cs="Times New Roman"/>
          <w:sz w:val="20"/>
          <w:szCs w:val="20"/>
        </w:rPr>
        <w:t xml:space="preserve"> decision in this case, </w:t>
      </w:r>
      <w:r w:rsidRPr="00C04D30">
        <w:rPr>
          <w:rFonts w:ascii="Palatino Linotype" w:eastAsia="Times New Roman" w:hAnsi="Palatino Linotype" w:cs="Times New Roman"/>
          <w:i/>
          <w:iCs/>
          <w:sz w:val="20"/>
          <w:szCs w:val="20"/>
          <w:bdr w:val="none" w:sz="0" w:space="0" w:color="auto" w:frame="1"/>
        </w:rPr>
        <w:t>Chevron U.S.A. Inc. v. Natural Resources Defense Council, Inc.</w:t>
      </w:r>
      <w:r w:rsidRPr="00C04D30">
        <w:rPr>
          <w:rFonts w:ascii="Palatino Linotype" w:eastAsia="Times New Roman" w:hAnsi="Palatino Linotype" w:cs="Times New Roman"/>
          <w:sz w:val="20"/>
          <w:szCs w:val="20"/>
          <w:bdr w:val="none" w:sz="0" w:space="0" w:color="auto" w:frame="1"/>
        </w:rPr>
        <w:t xml:space="preserve"> (1984)</w:t>
      </w:r>
      <w:r w:rsidRPr="00C04D30">
        <w:rPr>
          <w:rFonts w:ascii="Palatino Linotype" w:eastAsia="Times New Roman" w:hAnsi="Palatino Linotype" w:cs="Times New Roman"/>
          <w:sz w:val="20"/>
          <w:szCs w:val="20"/>
        </w:rPr>
        <w:t>, has nothing to say about the proper interpretation of the law before us.</w:t>
      </w:r>
    </w:p>
    <w:p w14:paraId="316F3A04" w14:textId="77777777" w:rsidR="00372667" w:rsidRPr="00C04D30" w:rsidRDefault="00372667" w:rsidP="0037266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C04D30">
        <w:rPr>
          <w:rFonts w:ascii="Palatino Linotype" w:eastAsia="Times New Roman" w:hAnsi="Palatino Linotype" w:cs="Times New Roman"/>
          <w:sz w:val="20"/>
          <w:szCs w:val="20"/>
        </w:rPr>
        <w:t>In the first place, the government expressly waived reliance on </w:t>
      </w:r>
      <w:hyperlink r:id="rId5" w:history="1">
        <w:r w:rsidRPr="00C04D30">
          <w:rPr>
            <w:rFonts w:ascii="Palatino Linotype" w:eastAsia="Times New Roman" w:hAnsi="Palatino Linotype" w:cs="Times New Roman"/>
            <w:i/>
            <w:iCs/>
            <w:sz w:val="20"/>
            <w:szCs w:val="20"/>
            <w:bdr w:val="none" w:sz="0" w:space="0" w:color="auto" w:frame="1"/>
          </w:rPr>
          <w:t>Chevron</w:t>
        </w:r>
      </w:hyperlink>
      <w:r w:rsidRPr="00C04D30">
        <w:rPr>
          <w:rFonts w:ascii="Palatino Linotype" w:eastAsia="Times New Roman" w:hAnsi="Palatino Linotype" w:cs="Times New Roman"/>
          <w:sz w:val="20"/>
          <w:szCs w:val="20"/>
        </w:rPr>
        <w:t>. . . . That was mistaken. This Court has often declined to apply </w:t>
      </w:r>
      <w:hyperlink r:id="rId6" w:history="1">
        <w:r w:rsidRPr="00C04D30">
          <w:rPr>
            <w:rFonts w:ascii="Palatino Linotype" w:eastAsia="Times New Roman" w:hAnsi="Palatino Linotype" w:cs="Times New Roman"/>
            <w:i/>
            <w:iCs/>
            <w:sz w:val="20"/>
            <w:szCs w:val="20"/>
            <w:bdr w:val="none" w:sz="0" w:space="0" w:color="auto" w:frame="1"/>
          </w:rPr>
          <w:t>Chevron</w:t>
        </w:r>
      </w:hyperlink>
      <w:r w:rsidRPr="00C04D30">
        <w:rPr>
          <w:rFonts w:ascii="Palatino Linotype" w:eastAsia="Times New Roman" w:hAnsi="Palatino Linotype" w:cs="Times New Roman"/>
          <w:sz w:val="20"/>
          <w:szCs w:val="20"/>
        </w:rPr>
        <w:t> deference when the government fails to invoke it. Even when </w:t>
      </w:r>
      <w:hyperlink r:id="rId7" w:history="1">
        <w:r w:rsidRPr="00C04D30">
          <w:rPr>
            <w:rFonts w:ascii="Palatino Linotype" w:eastAsia="Times New Roman" w:hAnsi="Palatino Linotype" w:cs="Times New Roman"/>
            <w:i/>
            <w:iCs/>
            <w:sz w:val="20"/>
            <w:szCs w:val="20"/>
            <w:bdr w:val="none" w:sz="0" w:space="0" w:color="auto" w:frame="1"/>
          </w:rPr>
          <w:t>Chevron</w:t>
        </w:r>
      </w:hyperlink>
      <w:r w:rsidRPr="00C04D30">
        <w:rPr>
          <w:rFonts w:ascii="Palatino Linotype" w:eastAsia="Times New Roman" w:hAnsi="Palatino Linotype" w:cs="Times New Roman"/>
          <w:sz w:val="20"/>
          <w:szCs w:val="20"/>
        </w:rPr>
        <w:t> deference is sought, this Court has found it inappropriate where “the Executive seems of two minds” about the result it prefers.  Nor is it a surprise that the government can lose the benefit of </w:t>
      </w:r>
      <w:hyperlink r:id="rId8" w:history="1">
        <w:r w:rsidRPr="00C04D30">
          <w:rPr>
            <w:rFonts w:ascii="Palatino Linotype" w:eastAsia="Times New Roman" w:hAnsi="Palatino Linotype" w:cs="Times New Roman"/>
            <w:i/>
            <w:iCs/>
            <w:sz w:val="20"/>
            <w:szCs w:val="20"/>
            <w:bdr w:val="none" w:sz="0" w:space="0" w:color="auto" w:frame="1"/>
          </w:rPr>
          <w:t>Chevron</w:t>
        </w:r>
      </w:hyperlink>
      <w:r w:rsidRPr="00C04D30">
        <w:rPr>
          <w:rFonts w:ascii="Palatino Linotype" w:eastAsia="Times New Roman" w:hAnsi="Palatino Linotype" w:cs="Times New Roman"/>
          <w:sz w:val="20"/>
          <w:szCs w:val="20"/>
        </w:rPr>
        <w:t> in situations like these and ours. If the justification for </w:t>
      </w:r>
      <w:hyperlink r:id="rId9" w:history="1">
        <w:r w:rsidRPr="00C04D30">
          <w:rPr>
            <w:rFonts w:ascii="Palatino Linotype" w:eastAsia="Times New Roman" w:hAnsi="Palatino Linotype" w:cs="Times New Roman"/>
            <w:i/>
            <w:iCs/>
            <w:sz w:val="20"/>
            <w:szCs w:val="20"/>
            <w:bdr w:val="none" w:sz="0" w:space="0" w:color="auto" w:frame="1"/>
          </w:rPr>
          <w:t>Chevron</w:t>
        </w:r>
      </w:hyperlink>
      <w:r w:rsidRPr="00C04D30">
        <w:rPr>
          <w:rFonts w:ascii="Palatino Linotype" w:eastAsia="Times New Roman" w:hAnsi="Palatino Linotype" w:cs="Times New Roman"/>
          <w:sz w:val="20"/>
          <w:szCs w:val="20"/>
        </w:rPr>
        <w:t> is that “ ‘policy choices’ should be left to executive branch officials ‘directly accountable to the people,’ ” then courts must equally respect the Executive's decision </w:t>
      </w:r>
      <w:r w:rsidRPr="00C04D30">
        <w:rPr>
          <w:rFonts w:ascii="Palatino Linotype" w:eastAsia="Times New Roman" w:hAnsi="Palatino Linotype" w:cs="Times New Roman"/>
          <w:i/>
          <w:iCs/>
          <w:sz w:val="20"/>
          <w:szCs w:val="20"/>
          <w:bdr w:val="none" w:sz="0" w:space="0" w:color="auto" w:frame="1"/>
        </w:rPr>
        <w:t>not</w:t>
      </w:r>
      <w:r w:rsidRPr="00C04D30">
        <w:rPr>
          <w:rFonts w:ascii="Palatino Linotype" w:eastAsia="Times New Roman" w:hAnsi="Palatino Linotype" w:cs="Times New Roman"/>
          <w:sz w:val="20"/>
          <w:szCs w:val="20"/>
        </w:rPr>
        <w:t> to make policy choices in the interpretation of Congress's handiwork.</w:t>
      </w:r>
    </w:p>
    <w:p w14:paraId="131173FD" w14:textId="77777777" w:rsidR="00372667" w:rsidRPr="00C04D30" w:rsidRDefault="00372667" w:rsidP="0037266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C04D30">
        <w:rPr>
          <w:rFonts w:ascii="Palatino Linotype" w:eastAsia="Times New Roman" w:hAnsi="Palatino Linotype" w:cs="Times New Roman"/>
          <w:sz w:val="20"/>
          <w:szCs w:val="20"/>
        </w:rPr>
        <w:t>To make matters worse, the law before us carries the possibility of criminal sanctions. And, as the government itself may have recognized in offering its disclaimer, whatever else one thinks about </w:t>
      </w:r>
      <w:hyperlink r:id="rId10" w:history="1">
        <w:r w:rsidRPr="00C04D30">
          <w:rPr>
            <w:rFonts w:ascii="Palatino Linotype" w:eastAsia="Times New Roman" w:hAnsi="Palatino Linotype" w:cs="Times New Roman"/>
            <w:i/>
            <w:iCs/>
            <w:sz w:val="20"/>
            <w:szCs w:val="20"/>
            <w:bdr w:val="none" w:sz="0" w:space="0" w:color="auto" w:frame="1"/>
          </w:rPr>
          <w:t>Chevron</w:t>
        </w:r>
      </w:hyperlink>
      <w:r w:rsidRPr="00C04D30">
        <w:rPr>
          <w:rFonts w:ascii="Palatino Linotype" w:eastAsia="Times New Roman" w:hAnsi="Palatino Linotype" w:cs="Times New Roman"/>
          <w:sz w:val="20"/>
          <w:szCs w:val="20"/>
        </w:rPr>
        <w:t>, it has no role to play when liberty is at stake. Under our </w:t>
      </w:r>
      <w:r w:rsidRPr="00C04D30">
        <w:rPr>
          <w:rFonts w:ascii="Palatino Linotype" w:eastAsia="Times New Roman" w:hAnsi="Palatino Linotype" w:cs="Times New Roman"/>
          <w:sz w:val="20"/>
          <w:szCs w:val="20"/>
          <w:bdr w:val="none" w:sz="0" w:space="0" w:color="auto" w:frame="1"/>
        </w:rPr>
        <w:t>Constitution</w:t>
      </w:r>
      <w:r w:rsidRPr="00C04D30">
        <w:rPr>
          <w:rFonts w:ascii="Palatino Linotype" w:eastAsia="Times New Roman" w:hAnsi="Palatino Linotype" w:cs="Times New Roman"/>
          <w:sz w:val="20"/>
          <w:szCs w:val="20"/>
        </w:rPr>
        <w:t>, “[o]</w:t>
      </w:r>
      <w:proofErr w:type="spellStart"/>
      <w:r w:rsidRPr="00C04D30">
        <w:rPr>
          <w:rFonts w:ascii="Palatino Linotype" w:eastAsia="Times New Roman" w:hAnsi="Palatino Linotype" w:cs="Times New Roman"/>
          <w:sz w:val="20"/>
          <w:szCs w:val="20"/>
        </w:rPr>
        <w:t>nly</w:t>
      </w:r>
      <w:proofErr w:type="spellEnd"/>
      <w:r w:rsidRPr="00C04D30">
        <w:rPr>
          <w:rFonts w:ascii="Palatino Linotype" w:eastAsia="Times New Roman" w:hAnsi="Palatino Linotype" w:cs="Times New Roman"/>
          <w:sz w:val="20"/>
          <w:szCs w:val="20"/>
        </w:rPr>
        <w:t xml:space="preserve"> the people's elected </w:t>
      </w:r>
      <w:r w:rsidRPr="00C04D30">
        <w:rPr>
          <w:rFonts w:ascii="Palatino Linotype" w:eastAsia="Times New Roman" w:hAnsi="Palatino Linotype" w:cs="Times New Roman"/>
          <w:sz w:val="20"/>
          <w:szCs w:val="20"/>
        </w:rPr>
        <w:lastRenderedPageBreak/>
        <w:t>representatives in the legislature are authorized to ‘make an act a crime.</w:t>
      </w:r>
      <w:proofErr w:type="gramStart"/>
      <w:r w:rsidRPr="00C04D30">
        <w:rPr>
          <w:rFonts w:ascii="Palatino Linotype" w:eastAsia="Times New Roman" w:hAnsi="Palatino Linotype" w:cs="Times New Roman"/>
          <w:sz w:val="20"/>
          <w:szCs w:val="20"/>
        </w:rPr>
        <w:t>’ ”</w:t>
      </w:r>
      <w:proofErr w:type="gramEnd"/>
      <w:r w:rsidRPr="00C04D30">
        <w:rPr>
          <w:rFonts w:ascii="Palatino Linotype" w:eastAsia="Times New Roman" w:hAnsi="Palatino Linotype" w:cs="Times New Roman"/>
          <w:sz w:val="20"/>
          <w:szCs w:val="20"/>
        </w:rPr>
        <w:t xml:space="preserve">  Before courts may send people to prison, we owe them an independent determination that the law </w:t>
      </w:r>
      <w:proofErr w:type="gramStart"/>
      <w:r w:rsidRPr="00C04D30">
        <w:rPr>
          <w:rFonts w:ascii="Palatino Linotype" w:eastAsia="Times New Roman" w:hAnsi="Palatino Linotype" w:cs="Times New Roman"/>
          <w:sz w:val="20"/>
          <w:szCs w:val="20"/>
        </w:rPr>
        <w:t>actually forbids</w:t>
      </w:r>
      <w:proofErr w:type="gramEnd"/>
      <w:r w:rsidRPr="00C04D30">
        <w:rPr>
          <w:rFonts w:ascii="Palatino Linotype" w:eastAsia="Times New Roman" w:hAnsi="Palatino Linotype" w:cs="Times New Roman"/>
          <w:sz w:val="20"/>
          <w:szCs w:val="20"/>
        </w:rPr>
        <w:t xml:space="preserve"> their conduct. A “reasonable” prosecutor's say-so is cold comfort in comparison. </w:t>
      </w:r>
      <w:proofErr w:type="gramStart"/>
      <w:r w:rsidRPr="00C04D30">
        <w:rPr>
          <w:rFonts w:ascii="Palatino Linotype" w:eastAsia="Times New Roman" w:hAnsi="Palatino Linotype" w:cs="Times New Roman"/>
          <w:sz w:val="20"/>
          <w:szCs w:val="20"/>
        </w:rPr>
        <w:t>That's</w:t>
      </w:r>
      <w:proofErr w:type="gramEnd"/>
      <w:r w:rsidRPr="00C04D30">
        <w:rPr>
          <w:rFonts w:ascii="Palatino Linotype" w:eastAsia="Times New Roman" w:hAnsi="Palatino Linotype" w:cs="Times New Roman"/>
          <w:sz w:val="20"/>
          <w:szCs w:val="20"/>
        </w:rPr>
        <w:t xml:space="preserve"> why this Court has “never held that the Government's reading of a criminal statute is entitled to any deference.”  Instead, we have emphasized, courts bear an “obligation” to determine independently what the law allows and forbids</w:t>
      </w:r>
      <w:proofErr w:type="gramStart"/>
      <w:r w:rsidRPr="00C04D30">
        <w:rPr>
          <w:rFonts w:ascii="Palatino Linotype" w:eastAsia="Times New Roman" w:hAnsi="Palatino Linotype" w:cs="Times New Roman"/>
          <w:sz w:val="20"/>
          <w:szCs w:val="20"/>
        </w:rPr>
        <w:t>. . . .</w:t>
      </w:r>
      <w:proofErr w:type="gramEnd"/>
    </w:p>
    <w:p w14:paraId="1F9B5DCB" w14:textId="77777777" w:rsidR="00372667" w:rsidRPr="00C04D30" w:rsidRDefault="00C779DD" w:rsidP="00372667">
      <w:pPr>
        <w:shd w:val="clear" w:color="auto" w:fill="FFFFFF"/>
        <w:spacing w:after="0" w:line="240" w:lineRule="auto"/>
        <w:ind w:firstLine="720"/>
        <w:textAlignment w:val="baseline"/>
        <w:rPr>
          <w:rFonts w:ascii="Palatino Linotype" w:eastAsia="Times New Roman" w:hAnsi="Palatino Linotype" w:cs="Times New Roman"/>
          <w:sz w:val="20"/>
          <w:szCs w:val="20"/>
        </w:rPr>
      </w:pPr>
      <w:hyperlink r:id="rId11" w:history="1">
        <w:r w:rsidR="00372667" w:rsidRPr="00C04D30">
          <w:rPr>
            <w:rFonts w:ascii="Palatino Linotype" w:eastAsia="Times New Roman" w:hAnsi="Palatino Linotype" w:cs="Times New Roman"/>
            <w:i/>
            <w:iCs/>
            <w:sz w:val="20"/>
            <w:szCs w:val="20"/>
            <w:bdr w:val="none" w:sz="0" w:space="0" w:color="auto" w:frame="1"/>
          </w:rPr>
          <w:t>Chevron</w:t>
        </w:r>
      </w:hyperlink>
      <w:r w:rsidR="00372667" w:rsidRPr="00C04D30">
        <w:rPr>
          <w:rFonts w:ascii="Palatino Linotype" w:eastAsia="Times New Roman" w:hAnsi="Palatino Linotype" w:cs="Times New Roman"/>
          <w:sz w:val="20"/>
          <w:szCs w:val="20"/>
        </w:rPr>
        <w:t xml:space="preserve">'s application in this case may be doubtful for other reasons too. The agency used to tell everyone that bump stocks </w:t>
      </w:r>
      <w:proofErr w:type="gramStart"/>
      <w:r w:rsidR="00372667" w:rsidRPr="00C04D30">
        <w:rPr>
          <w:rFonts w:ascii="Palatino Linotype" w:eastAsia="Times New Roman" w:hAnsi="Palatino Linotype" w:cs="Times New Roman"/>
          <w:sz w:val="20"/>
          <w:szCs w:val="20"/>
        </w:rPr>
        <w:t>don't</w:t>
      </w:r>
      <w:proofErr w:type="gramEnd"/>
      <w:r w:rsidR="00372667" w:rsidRPr="00C04D30">
        <w:rPr>
          <w:rFonts w:ascii="Palatino Linotype" w:eastAsia="Times New Roman" w:hAnsi="Palatino Linotype" w:cs="Times New Roman"/>
          <w:sz w:val="20"/>
          <w:szCs w:val="20"/>
        </w:rPr>
        <w:t xml:space="preserve"> qualify as “machineguns.” Now it says the opposite. The law </w:t>
      </w:r>
      <w:proofErr w:type="gramStart"/>
      <w:r w:rsidR="00372667" w:rsidRPr="00C04D30">
        <w:rPr>
          <w:rFonts w:ascii="Palatino Linotype" w:eastAsia="Times New Roman" w:hAnsi="Palatino Linotype" w:cs="Times New Roman"/>
          <w:sz w:val="20"/>
          <w:szCs w:val="20"/>
        </w:rPr>
        <w:t>hasn't</w:t>
      </w:r>
      <w:proofErr w:type="gramEnd"/>
      <w:r w:rsidR="00372667" w:rsidRPr="00C04D30">
        <w:rPr>
          <w:rFonts w:ascii="Palatino Linotype" w:eastAsia="Times New Roman" w:hAnsi="Palatino Linotype" w:cs="Times New Roman"/>
          <w:sz w:val="20"/>
          <w:szCs w:val="20"/>
        </w:rPr>
        <w:t xml:space="preserve"> changed, only an agency's interpretation of it. And these days it sometimes seems agencies change their statutory interpretations almost as often as elections change administrations. How, in all this, can ordinary citizens be expected to keep up—required not only to conform their conduct to the fairest reading of the law they might expect from a neutral judge, but forced to guess whether the statute will be declared ambiguous; to guess again whether the agency's initial interpretation of the law will be declared “reasonable”; and to guess </w:t>
      </w:r>
      <w:r w:rsidR="00372667" w:rsidRPr="00C04D30">
        <w:rPr>
          <w:rFonts w:ascii="Palatino Linotype" w:eastAsia="Times New Roman" w:hAnsi="Palatino Linotype" w:cs="Times New Roman"/>
          <w:i/>
          <w:iCs/>
          <w:sz w:val="20"/>
          <w:szCs w:val="20"/>
          <w:bdr w:val="none" w:sz="0" w:space="0" w:color="auto" w:frame="1"/>
        </w:rPr>
        <w:t>again</w:t>
      </w:r>
      <w:r w:rsidR="00372667" w:rsidRPr="00C04D30">
        <w:rPr>
          <w:rFonts w:ascii="Palatino Linotype" w:eastAsia="Times New Roman" w:hAnsi="Palatino Linotype" w:cs="Times New Roman"/>
          <w:sz w:val="20"/>
          <w:szCs w:val="20"/>
        </w:rPr>
        <w:t> whether a later and opposing agency interpretation will </w:t>
      </w:r>
      <w:r w:rsidR="00372667" w:rsidRPr="00C04D30">
        <w:rPr>
          <w:rFonts w:ascii="Palatino Linotype" w:eastAsia="Times New Roman" w:hAnsi="Palatino Linotype" w:cs="Times New Roman"/>
          <w:i/>
          <w:iCs/>
          <w:sz w:val="20"/>
          <w:szCs w:val="20"/>
          <w:bdr w:val="none" w:sz="0" w:space="0" w:color="auto" w:frame="1"/>
        </w:rPr>
        <w:t>also</w:t>
      </w:r>
      <w:r w:rsidR="00372667" w:rsidRPr="00C04D30">
        <w:rPr>
          <w:rFonts w:ascii="Palatino Linotype" w:eastAsia="Times New Roman" w:hAnsi="Palatino Linotype" w:cs="Times New Roman"/>
          <w:sz w:val="20"/>
          <w:szCs w:val="20"/>
        </w:rPr>
        <w:t> be held “reasonable”? And why should courts, charged with the independent and neutral interpretation of the laws Congress has enacted, defer to such bureaucratic pirouetting?</w:t>
      </w:r>
    </w:p>
    <w:p w14:paraId="266A0705" w14:textId="77777777" w:rsidR="00372667" w:rsidRPr="00C04D30" w:rsidRDefault="00372667" w:rsidP="00372667">
      <w:pPr>
        <w:spacing w:after="0" w:line="240" w:lineRule="auto"/>
        <w:ind w:firstLine="720"/>
        <w:rPr>
          <w:rFonts w:ascii="Palatino Linotype" w:hAnsi="Palatino Linotype" w:cs="Times New Roman"/>
          <w:sz w:val="20"/>
          <w:szCs w:val="20"/>
        </w:rPr>
      </w:pPr>
      <w:r w:rsidRPr="00C04D30">
        <w:rPr>
          <w:rFonts w:ascii="Palatino Linotype" w:hAnsi="Palatino Linotype" w:cs="Times New Roman"/>
          <w:sz w:val="20"/>
          <w:szCs w:val="20"/>
        </w:rPr>
        <w:t xml:space="preserve">. . . . </w:t>
      </w:r>
    </w:p>
    <w:p w14:paraId="6D7E15C7" w14:textId="77777777" w:rsidR="00372667" w:rsidRPr="00C04D30" w:rsidRDefault="00372667" w:rsidP="00372667">
      <w:pPr>
        <w:rPr>
          <w:rFonts w:ascii="Palatino Linotype" w:hAnsi="Palatino Linotype"/>
          <w:sz w:val="20"/>
          <w:szCs w:val="20"/>
        </w:rPr>
      </w:pPr>
    </w:p>
    <w:p w14:paraId="00CF2D55" w14:textId="77777777" w:rsidR="009E4E30" w:rsidRPr="00C04D30" w:rsidRDefault="009E4E30">
      <w:pPr>
        <w:rPr>
          <w:rFonts w:ascii="Palatino Linotype" w:hAnsi="Palatino Linotype"/>
          <w:sz w:val="20"/>
          <w:szCs w:val="20"/>
        </w:rPr>
      </w:pPr>
    </w:p>
    <w:sectPr w:rsidR="009E4E30" w:rsidRPr="00C04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67"/>
    <w:rsid w:val="00372667"/>
    <w:rsid w:val="009A5D1C"/>
    <w:rsid w:val="009E4E30"/>
    <w:rsid w:val="00C04D30"/>
    <w:rsid w:val="00C35C43"/>
    <w:rsid w:val="00C779DD"/>
    <w:rsid w:val="00E550BA"/>
    <w:rsid w:val="00ED4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FE54"/>
  <w15:chartTrackingRefBased/>
  <w15:docId w15:val="{E9BDA845-33A3-4C64-9FD9-C6244266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66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84130736&amp;pubNum=0000780&amp;originatingDoc=If4aeafc13c5f11eaadfea82903531a62&amp;refType=RP&amp;originationContext=document&amp;transitionType=DocumentItem&amp;contextData=(sc.Searc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1.next.westlaw.com/Link/Document/FullText?findType=Y&amp;serNum=1984130736&amp;pubNum=0000780&amp;originatingDoc=If4aeafc13c5f11eaadfea82903531a62&amp;refType=RP&amp;originationContext=document&amp;transitionType=DocumentItem&amp;contextData=(sc.Searc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Y&amp;serNum=1984130736&amp;pubNum=0000780&amp;originatingDoc=If4aeafc13c5f11eaadfea82903531a62&amp;refType=RP&amp;originationContext=document&amp;transitionType=DocumentItem&amp;contextData=(sc.Search)" TargetMode="External"/><Relationship Id="rId11" Type="http://schemas.openxmlformats.org/officeDocument/2006/relationships/hyperlink" Target="https://1.next.westlaw.com/Link/Document/FullText?findType=Y&amp;serNum=1984130736&amp;originatingDoc=If4aeafc13c5f11eaadfea82903531a62&amp;refType=RP&amp;originationContext=document&amp;transitionType=DocumentItem&amp;contextData=(sc.Search)" TargetMode="External"/><Relationship Id="rId5" Type="http://schemas.openxmlformats.org/officeDocument/2006/relationships/hyperlink" Target="https://1.next.westlaw.com/Link/Document/FullText?findType=Y&amp;serNum=1984130736&amp;pubNum=0000780&amp;originatingDoc=If4aeafc13c5f11eaadfea82903531a62&amp;refType=RP&amp;originationContext=document&amp;transitionType=DocumentItem&amp;contextData=(sc.Search)" TargetMode="External"/><Relationship Id="rId10" Type="http://schemas.openxmlformats.org/officeDocument/2006/relationships/hyperlink" Target="https://1.next.westlaw.com/Link/Document/FullText?findType=Y&amp;serNum=1984130736&amp;pubNum=0000780&amp;originatingDoc=If4aeafc13c5f11eaadfea82903531a62&amp;refType=RP&amp;originationContext=document&amp;transitionType=DocumentItem&amp;contextData=(sc.Search)" TargetMode="External"/><Relationship Id="rId4" Type="http://schemas.openxmlformats.org/officeDocument/2006/relationships/hyperlink" Target="https://1.next.westlaw.com/Link/Document/FullText?findType=h&amp;pubNum=176284&amp;cite=0183411701&amp;originatingDoc=If4aeafc13c5f11eaadfea82903531a62&amp;refType=RQ&amp;originationContext=document&amp;transitionType=DocumentItem&amp;contextData=(sc.Search)&amp;analyticGuid=If4aeafc13c5f11eaadfea82903531a62" TargetMode="External"/><Relationship Id="rId9" Type="http://schemas.openxmlformats.org/officeDocument/2006/relationships/hyperlink" Target="https://1.next.westlaw.com/Link/Document/FullText?findType=Y&amp;serNum=1984130736&amp;pubNum=0000780&amp;originatingDoc=If4aeafc13c5f11eaadfea82903531a62&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2020-12-10T19:47:00Z</dcterms:created>
  <dcterms:modified xsi:type="dcterms:W3CDTF">2020-12-10T19:47:00Z</dcterms:modified>
</cp:coreProperties>
</file>