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2EA0" w14:textId="77777777" w:rsidR="00F23945" w:rsidRPr="00C37622" w:rsidRDefault="00F23945" w:rsidP="00F23945">
      <w:pPr>
        <w:jc w:val="center"/>
        <w:rPr>
          <w:rFonts w:ascii="Palatino Linotype" w:hAnsi="Palatino Linotype"/>
          <w:sz w:val="20"/>
          <w:szCs w:val="20"/>
        </w:rPr>
      </w:pPr>
      <w:r w:rsidRPr="00C37622">
        <w:rPr>
          <w:rFonts w:ascii="Palatino Linotype" w:hAnsi="Palatino Linotype"/>
          <w:sz w:val="20"/>
          <w:szCs w:val="20"/>
        </w:rPr>
        <w:t>AMERICAN CONSTITUTIONALISM</w:t>
      </w:r>
    </w:p>
    <w:p w14:paraId="625082FE" w14:textId="77777777" w:rsidR="00F23945" w:rsidRPr="00C37622" w:rsidRDefault="00F23945" w:rsidP="00F23945">
      <w:pPr>
        <w:jc w:val="center"/>
        <w:rPr>
          <w:rFonts w:ascii="Palatino Linotype" w:hAnsi="Palatino Linotype"/>
          <w:sz w:val="20"/>
          <w:szCs w:val="20"/>
        </w:rPr>
      </w:pPr>
      <w:r w:rsidRPr="00C37622">
        <w:rPr>
          <w:rFonts w:ascii="Palatino Linotype" w:hAnsi="Palatino Linotype"/>
          <w:sz w:val="20"/>
          <w:szCs w:val="20"/>
        </w:rPr>
        <w:t>VOLUME II: RIGHTS AND LIBERTIES</w:t>
      </w:r>
    </w:p>
    <w:p w14:paraId="45BE466E" w14:textId="77777777" w:rsidR="00F23945" w:rsidRPr="00C37622" w:rsidRDefault="00F23945" w:rsidP="00F23945">
      <w:pPr>
        <w:jc w:val="center"/>
        <w:rPr>
          <w:rFonts w:ascii="Palatino Linotype" w:hAnsi="Palatino Linotype"/>
          <w:sz w:val="20"/>
          <w:szCs w:val="20"/>
        </w:rPr>
      </w:pPr>
      <w:r w:rsidRPr="00C37622">
        <w:rPr>
          <w:rFonts w:ascii="Palatino Linotype" w:hAnsi="Palatino Linotype"/>
          <w:sz w:val="20"/>
          <w:szCs w:val="20"/>
        </w:rPr>
        <w:t>Howard Gillman • Mark A. Graber • Keith E. Whittington</w:t>
      </w:r>
    </w:p>
    <w:p w14:paraId="2FA0C2FA" w14:textId="77777777" w:rsidR="00F23945" w:rsidRPr="00C37622" w:rsidRDefault="00F23945" w:rsidP="00F23945">
      <w:pPr>
        <w:jc w:val="center"/>
        <w:rPr>
          <w:rFonts w:ascii="Palatino Linotype" w:hAnsi="Palatino Linotype"/>
          <w:sz w:val="20"/>
          <w:szCs w:val="20"/>
        </w:rPr>
      </w:pPr>
    </w:p>
    <w:p w14:paraId="4564C291" w14:textId="77777777" w:rsidR="00F23945" w:rsidRPr="00C37622" w:rsidRDefault="00F23945" w:rsidP="00F23945">
      <w:pPr>
        <w:jc w:val="center"/>
        <w:rPr>
          <w:rFonts w:ascii="Palatino Linotype" w:hAnsi="Palatino Linotype"/>
          <w:sz w:val="20"/>
          <w:szCs w:val="20"/>
        </w:rPr>
      </w:pPr>
      <w:r w:rsidRPr="00C37622">
        <w:rPr>
          <w:rFonts w:ascii="Palatino Linotype" w:hAnsi="Palatino Linotype"/>
          <w:sz w:val="20"/>
          <w:szCs w:val="20"/>
        </w:rPr>
        <w:t>Supplementary Material</w:t>
      </w:r>
    </w:p>
    <w:p w14:paraId="45891509" w14:textId="77777777" w:rsidR="00F23945" w:rsidRPr="00C37622" w:rsidRDefault="00F23945" w:rsidP="00F23945">
      <w:pPr>
        <w:jc w:val="center"/>
        <w:rPr>
          <w:rFonts w:ascii="Palatino Linotype" w:hAnsi="Palatino Linotype"/>
          <w:sz w:val="20"/>
          <w:szCs w:val="20"/>
        </w:rPr>
      </w:pPr>
    </w:p>
    <w:p w14:paraId="36F8C460" w14:textId="13662E27" w:rsidR="00F23945" w:rsidRPr="00C37622" w:rsidRDefault="00F23945" w:rsidP="00F23945">
      <w:pPr>
        <w:jc w:val="center"/>
        <w:rPr>
          <w:rFonts w:ascii="Palatino Linotype" w:hAnsi="Palatino Linotype"/>
          <w:sz w:val="20"/>
          <w:szCs w:val="20"/>
        </w:rPr>
      </w:pPr>
      <w:r w:rsidRPr="00C37622">
        <w:rPr>
          <w:rFonts w:ascii="Palatino Linotype" w:hAnsi="Palatino Linotype"/>
          <w:sz w:val="20"/>
          <w:szCs w:val="20"/>
        </w:rPr>
        <w:t>Chapter 11: The Contemporary Era—Democratic Rights/Free Speech/</w:t>
      </w:r>
      <w:r w:rsidRPr="00C37622">
        <w:rPr>
          <w:rFonts w:ascii="Palatino Linotype" w:hAnsi="Palatino Linotype"/>
          <w:b/>
          <w:sz w:val="20"/>
          <w:szCs w:val="20"/>
        </w:rPr>
        <w:t xml:space="preserve"> </w:t>
      </w:r>
      <w:r w:rsidR="00C37622">
        <w:rPr>
          <w:rFonts w:ascii="Palatino Linotype" w:hAnsi="Palatino Linotype"/>
          <w:sz w:val="20"/>
          <w:szCs w:val="20"/>
        </w:rPr>
        <w:t>Advocacy</w:t>
      </w:r>
    </w:p>
    <w:p w14:paraId="376CAB86" w14:textId="77777777" w:rsidR="00101523" w:rsidRPr="00C37622" w:rsidRDefault="00101523" w:rsidP="00101523">
      <w:pPr>
        <w:jc w:val="both"/>
        <w:rPr>
          <w:rFonts w:ascii="Palatino Linotype" w:hAnsi="Palatino Linotype"/>
          <w:sz w:val="20"/>
          <w:szCs w:val="20"/>
        </w:rPr>
      </w:pPr>
    </w:p>
    <w:p w14:paraId="5EFCFE15" w14:textId="77777777" w:rsidR="000E2F1A" w:rsidRPr="00C37622" w:rsidRDefault="008E68C2">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614D247" w:rsidR="00760334" w:rsidRPr="00C37622" w:rsidRDefault="00262C7F" w:rsidP="000E2F1A">
      <w:pPr>
        <w:jc w:val="center"/>
        <w:rPr>
          <w:rFonts w:ascii="Palatino Linotype" w:hAnsi="Palatino Linotype" w:cs="Times New Roman"/>
          <w:sz w:val="20"/>
          <w:szCs w:val="20"/>
        </w:rPr>
      </w:pPr>
      <w:r w:rsidRPr="00C37622">
        <w:rPr>
          <w:rFonts w:ascii="Palatino Linotype" w:hAnsi="Palatino Linotype" w:cs="Times New Roman"/>
          <w:b/>
          <w:sz w:val="20"/>
          <w:szCs w:val="20"/>
        </w:rPr>
        <w:t>Saxe v. State College Area School District, 240 F.3d 200</w:t>
      </w:r>
      <w:r w:rsidR="001246B5" w:rsidRPr="00C37622">
        <w:rPr>
          <w:rFonts w:ascii="Palatino Linotype" w:hAnsi="Palatino Linotype" w:cs="Times New Roman"/>
          <w:sz w:val="20"/>
          <w:szCs w:val="20"/>
        </w:rPr>
        <w:t xml:space="preserve"> (</w:t>
      </w:r>
      <w:r w:rsidR="000C0A00" w:rsidRPr="00C37622">
        <w:rPr>
          <w:rFonts w:ascii="Palatino Linotype" w:hAnsi="Palatino Linotype" w:cs="Times New Roman"/>
          <w:sz w:val="20"/>
          <w:szCs w:val="20"/>
        </w:rPr>
        <w:t>3</w:t>
      </w:r>
      <w:r w:rsidR="000C0A00" w:rsidRPr="00C37622">
        <w:rPr>
          <w:rFonts w:ascii="Palatino Linotype" w:hAnsi="Palatino Linotype" w:cs="Times New Roman"/>
          <w:sz w:val="20"/>
          <w:szCs w:val="20"/>
          <w:vertAlign w:val="superscript"/>
        </w:rPr>
        <w:t>rd</w:t>
      </w:r>
      <w:r w:rsidR="000C0A00" w:rsidRPr="00C37622">
        <w:rPr>
          <w:rFonts w:ascii="Palatino Linotype" w:hAnsi="Palatino Linotype" w:cs="Times New Roman"/>
          <w:sz w:val="20"/>
          <w:szCs w:val="20"/>
        </w:rPr>
        <w:t xml:space="preserve"> Cir. 20</w:t>
      </w:r>
      <w:r w:rsidR="00893A90" w:rsidRPr="00C37622">
        <w:rPr>
          <w:rFonts w:ascii="Palatino Linotype" w:hAnsi="Palatino Linotype" w:cs="Times New Roman"/>
          <w:sz w:val="20"/>
          <w:szCs w:val="20"/>
        </w:rPr>
        <w:t>0</w:t>
      </w:r>
      <w:r w:rsidRPr="00C37622">
        <w:rPr>
          <w:rFonts w:ascii="Palatino Linotype" w:hAnsi="Palatino Linotype" w:cs="Times New Roman"/>
          <w:sz w:val="20"/>
          <w:szCs w:val="20"/>
        </w:rPr>
        <w:t>1</w:t>
      </w:r>
      <w:r w:rsidR="000E2F1A" w:rsidRPr="00C37622">
        <w:rPr>
          <w:rFonts w:ascii="Palatino Linotype" w:hAnsi="Palatino Linotype" w:cs="Times New Roman"/>
          <w:sz w:val="20"/>
          <w:szCs w:val="20"/>
        </w:rPr>
        <w:t>)</w:t>
      </w:r>
    </w:p>
    <w:p w14:paraId="301125D3" w14:textId="77777777" w:rsidR="000E2F1A" w:rsidRPr="00C37622" w:rsidRDefault="008E68C2">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C37622" w:rsidRDefault="000E2F1A">
      <w:pPr>
        <w:rPr>
          <w:rFonts w:ascii="Palatino Linotype" w:hAnsi="Palatino Linotype" w:cs="Times New Roman"/>
          <w:sz w:val="20"/>
          <w:szCs w:val="20"/>
        </w:rPr>
      </w:pPr>
    </w:p>
    <w:p w14:paraId="781A4E33" w14:textId="6E1823E5" w:rsidR="00B571F9" w:rsidRPr="00C37622" w:rsidRDefault="00AE1E95" w:rsidP="004F7FE7">
      <w:pPr>
        <w:ind w:firstLine="720"/>
        <w:jc w:val="both"/>
        <w:rPr>
          <w:rFonts w:ascii="Palatino Linotype" w:hAnsi="Palatino Linotype" w:cs="Times New Roman"/>
          <w:i/>
          <w:sz w:val="20"/>
          <w:szCs w:val="20"/>
        </w:rPr>
      </w:pPr>
      <w:r w:rsidRPr="00C37622">
        <w:rPr>
          <w:rFonts w:ascii="Palatino Linotype" w:hAnsi="Palatino Linotype" w:cs="Times New Roman"/>
          <w:i/>
          <w:sz w:val="20"/>
          <w:szCs w:val="20"/>
        </w:rPr>
        <w:t>In 1999, the State College Area School District (SCASD) in Pennsylvania adopted an anti-harassment policy. It defined harassment as including verbal or physical conduct based on a variety of personal characteristics and that has the purpose or effect of substantially interfering with a student’s educational performance or creating a hostile environment.</w:t>
      </w:r>
      <w:r w:rsidR="00FC2608" w:rsidRPr="00C37622">
        <w:rPr>
          <w:rFonts w:ascii="Palatino Linotype" w:hAnsi="Palatino Linotype" w:cs="Times New Roman"/>
          <w:i/>
          <w:sz w:val="20"/>
          <w:szCs w:val="20"/>
        </w:rPr>
        <w:t xml:space="preserve"> Among the examples of prohibited harassment based on “other personal characteristics” were jokes or negative comments about “clothing, physical appearance, social skills, peer group, intellect, educational program, hobbies or values, etc.”</w:t>
      </w:r>
    </w:p>
    <w:p w14:paraId="30596AAB" w14:textId="3C1A9973" w:rsidR="00AE1E95" w:rsidRPr="00C37622" w:rsidRDefault="00AE1E95" w:rsidP="004F7FE7">
      <w:pPr>
        <w:ind w:firstLine="720"/>
        <w:jc w:val="both"/>
        <w:rPr>
          <w:rFonts w:ascii="Palatino Linotype" w:hAnsi="Palatino Linotype" w:cs="Times New Roman"/>
          <w:i/>
          <w:sz w:val="20"/>
          <w:szCs w:val="20"/>
        </w:rPr>
      </w:pPr>
      <w:r w:rsidRPr="00C37622">
        <w:rPr>
          <w:rFonts w:ascii="Palatino Linotype" w:hAnsi="Palatino Linotype" w:cs="Times New Roman"/>
          <w:i/>
          <w:sz w:val="20"/>
          <w:szCs w:val="20"/>
        </w:rPr>
        <w:t>David Saxe was a member of the state board of education and the legal guardian of two students in the district. After the adoption of the policy, he filed a suit in federal district court contending that the harassment policy violated the First Amendment and expressed particular concern that the policy could be used to punish the Saxe students for expressions of their religious beliefs regarding homosexuality. The district court upheld the policy, but on appeal the federal circuit court reversed that ruling and struck down the policy as unconstitutional. Contrary to the district court, the circuit court emphasized that there was no harassment exception to the First Amendment and that any harassment policy</w:t>
      </w:r>
      <w:r w:rsidR="00CF614F" w:rsidRPr="00C37622">
        <w:rPr>
          <w:rFonts w:ascii="Palatino Linotype" w:hAnsi="Palatino Linotype" w:cs="Times New Roman"/>
          <w:i/>
          <w:sz w:val="20"/>
          <w:szCs w:val="20"/>
        </w:rPr>
        <w:t xml:space="preserve"> had to be consistent with constitutional protections for free speech.</w:t>
      </w:r>
    </w:p>
    <w:p w14:paraId="04EBCA6B" w14:textId="77777777" w:rsidR="000E2F1A" w:rsidRPr="00C37622" w:rsidRDefault="000E2F1A" w:rsidP="004F7FE7">
      <w:pPr>
        <w:jc w:val="both"/>
        <w:rPr>
          <w:rFonts w:ascii="Palatino Linotype" w:hAnsi="Palatino Linotype" w:cs="Times New Roman"/>
          <w:sz w:val="20"/>
          <w:szCs w:val="20"/>
        </w:rPr>
      </w:pPr>
    </w:p>
    <w:p w14:paraId="681307B9" w14:textId="169E00B9" w:rsidR="00A62C6F" w:rsidRPr="00C37622" w:rsidRDefault="00436265" w:rsidP="00200749">
      <w:pPr>
        <w:jc w:val="both"/>
        <w:rPr>
          <w:rFonts w:ascii="Palatino Linotype" w:hAnsi="Palatino Linotype" w:cs="Times New Roman"/>
          <w:sz w:val="20"/>
          <w:szCs w:val="20"/>
        </w:rPr>
      </w:pPr>
      <w:r w:rsidRPr="00C37622">
        <w:rPr>
          <w:rFonts w:ascii="Palatino Linotype" w:hAnsi="Palatino Linotype" w:cs="Times New Roman"/>
          <w:sz w:val="20"/>
          <w:szCs w:val="20"/>
        </w:rPr>
        <w:t>JUDGE</w:t>
      </w:r>
      <w:r w:rsidR="00F10497" w:rsidRPr="00C37622">
        <w:rPr>
          <w:rFonts w:ascii="Palatino Linotype" w:hAnsi="Palatino Linotype" w:cs="Times New Roman"/>
          <w:sz w:val="20"/>
          <w:szCs w:val="20"/>
        </w:rPr>
        <w:t xml:space="preserve"> </w:t>
      </w:r>
      <w:r w:rsidR="00262C7F" w:rsidRPr="00C37622">
        <w:rPr>
          <w:rFonts w:ascii="Palatino Linotype" w:hAnsi="Palatino Linotype" w:cs="Times New Roman"/>
          <w:sz w:val="20"/>
          <w:szCs w:val="20"/>
        </w:rPr>
        <w:t>ALITO</w:t>
      </w:r>
      <w:r w:rsidR="00A62C6F" w:rsidRPr="00C37622">
        <w:rPr>
          <w:rFonts w:ascii="Palatino Linotype" w:hAnsi="Palatino Linotype" w:cs="Times New Roman"/>
          <w:sz w:val="20"/>
          <w:szCs w:val="20"/>
        </w:rPr>
        <w:t>.</w:t>
      </w:r>
    </w:p>
    <w:p w14:paraId="3620AC36" w14:textId="19A13AD6" w:rsidR="00E1544F" w:rsidRPr="00C37622" w:rsidRDefault="000E2F1A" w:rsidP="00F306DB">
      <w:pPr>
        <w:ind w:firstLine="720"/>
        <w:jc w:val="both"/>
        <w:rPr>
          <w:rFonts w:ascii="Palatino Linotype" w:hAnsi="Palatino Linotype" w:cs="Times New Roman"/>
          <w:sz w:val="20"/>
          <w:szCs w:val="20"/>
        </w:rPr>
      </w:pPr>
      <w:r w:rsidRPr="00C37622">
        <w:rPr>
          <w:rFonts w:ascii="Palatino Linotype" w:hAnsi="Palatino Linotype" w:cs="Times New Roman"/>
          <w:sz w:val="20"/>
          <w:szCs w:val="20"/>
        </w:rPr>
        <w:t>. . . .</w:t>
      </w:r>
    </w:p>
    <w:p w14:paraId="3509744C" w14:textId="4B8041A0" w:rsidR="00CF614F" w:rsidRPr="00C37622" w:rsidRDefault="00CF614F" w:rsidP="0025762C">
      <w:pPr>
        <w:ind w:firstLine="720"/>
        <w:jc w:val="both"/>
        <w:rPr>
          <w:rFonts w:ascii="Palatino Linotype" w:hAnsi="Palatino Linotype"/>
          <w:sz w:val="20"/>
          <w:szCs w:val="20"/>
        </w:rPr>
      </w:pPr>
      <w:r w:rsidRPr="00C37622">
        <w:rPr>
          <w:rFonts w:ascii="Palatino Linotype" w:hAnsi="Palatino Linotype"/>
          <w:sz w:val="20"/>
          <w:szCs w:val="20"/>
        </w:rPr>
        <w:t>The District Court dismissed the plaintiffs' free speech claims based on its conclusion that "harassment," as defined by federal and state anti-discrimination statutes, is not entitled to First Amendment protection. The Court rejected the plaintiffs' characterization of the Policy as a "hate speech code," holding instead that it merely prohibits harassment that is already unlawful under state and federal law. . . .</w:t>
      </w:r>
    </w:p>
    <w:p w14:paraId="5F63D0E3" w14:textId="05F8538A" w:rsidR="00DD6037" w:rsidRPr="00C37622" w:rsidRDefault="00CF614F" w:rsidP="0025762C">
      <w:pPr>
        <w:ind w:firstLine="720"/>
        <w:jc w:val="both"/>
        <w:rPr>
          <w:rFonts w:ascii="Palatino Linotype" w:hAnsi="Palatino Linotype"/>
          <w:sz w:val="20"/>
          <w:szCs w:val="20"/>
        </w:rPr>
      </w:pPr>
      <w:r w:rsidRPr="00C37622">
        <w:rPr>
          <w:rFonts w:ascii="Palatino Linotype" w:hAnsi="Palatino Linotype"/>
          <w:sz w:val="20"/>
          <w:szCs w:val="20"/>
        </w:rPr>
        <w:t>We disagree with the District Court's reasoning. There is no categorical "harassment exception" to the First Amendment's free speech clause. Moreover, the SCASD Policy prohibits a substantial amount of speech that would not constitute actionable harassment under either federal or state law.</w:t>
      </w:r>
    </w:p>
    <w:p w14:paraId="22A978F3" w14:textId="0099EF12" w:rsidR="00CF614F" w:rsidRPr="00C37622" w:rsidRDefault="00CF614F" w:rsidP="0025762C">
      <w:pPr>
        <w:ind w:firstLine="720"/>
        <w:jc w:val="both"/>
        <w:rPr>
          <w:rFonts w:ascii="Palatino Linotype" w:hAnsi="Palatino Linotype"/>
          <w:sz w:val="20"/>
          <w:szCs w:val="20"/>
        </w:rPr>
      </w:pPr>
      <w:r w:rsidRPr="00C37622">
        <w:rPr>
          <w:rFonts w:ascii="Palatino Linotype" w:hAnsi="Palatino Linotype"/>
          <w:sz w:val="20"/>
          <w:szCs w:val="20"/>
        </w:rPr>
        <w:t>. . . .</w:t>
      </w:r>
    </w:p>
    <w:p w14:paraId="2C752A8E" w14:textId="20B87203" w:rsidR="00CF614F" w:rsidRPr="00C37622" w:rsidRDefault="00CF614F" w:rsidP="0025762C">
      <w:pPr>
        <w:ind w:firstLine="720"/>
        <w:jc w:val="both"/>
        <w:rPr>
          <w:rFonts w:ascii="Palatino Linotype" w:hAnsi="Palatino Linotype"/>
          <w:sz w:val="20"/>
          <w:szCs w:val="20"/>
        </w:rPr>
      </w:pPr>
      <w:r w:rsidRPr="00C37622">
        <w:rPr>
          <w:rFonts w:ascii="Palatino Linotype" w:hAnsi="Palatino Linotype"/>
          <w:sz w:val="20"/>
          <w:szCs w:val="20"/>
        </w:rPr>
        <w:t xml:space="preserve">There is of course no question that non-expressive, physically harassing </w:t>
      </w:r>
      <w:r w:rsidRPr="00C37622">
        <w:rPr>
          <w:rFonts w:ascii="Palatino Linotype" w:hAnsi="Palatino Linotype"/>
          <w:i/>
          <w:iCs/>
          <w:sz w:val="20"/>
          <w:szCs w:val="20"/>
        </w:rPr>
        <w:t>conduct</w:t>
      </w:r>
      <w:r w:rsidRPr="00C37622">
        <w:rPr>
          <w:rFonts w:ascii="Palatino Linotype" w:hAnsi="Palatino Linotype"/>
          <w:sz w:val="20"/>
          <w:szCs w:val="20"/>
        </w:rPr>
        <w:t xml:space="preserve"> is entirely outside the ambit of the free speech clause. But there is also no question that the free speech clause protects a wide variety of speech that listeners may consider deeply offensive, including statements that impugn another's race or national origin or that denigrate religious beliefs. When laws against harassment attempt to regulate oral or written expression on such topics, however detestable the views expressed may be, we cannot turn a blind eye to the First Amendment implications. "Where pure expression is involved," anti-discrimination law "steers into the territory of the First Amendment." </w:t>
      </w:r>
      <w:r w:rsidRPr="00C37622">
        <w:rPr>
          <w:rFonts w:ascii="Palatino Linotype" w:hAnsi="Palatino Linotype"/>
          <w:i/>
          <w:sz w:val="20"/>
          <w:szCs w:val="20"/>
        </w:rPr>
        <w:t>DeAngelis v. El Paso Municipal Police Officers Association</w:t>
      </w:r>
      <w:r w:rsidRPr="00C37622">
        <w:rPr>
          <w:rFonts w:ascii="Palatino Linotype" w:hAnsi="Palatino Linotype"/>
          <w:sz w:val="20"/>
          <w:szCs w:val="20"/>
        </w:rPr>
        <w:t xml:space="preserve"> (5</w:t>
      </w:r>
      <w:r w:rsidRPr="00C37622">
        <w:rPr>
          <w:rFonts w:ascii="Palatino Linotype" w:hAnsi="Palatino Linotype"/>
          <w:sz w:val="20"/>
          <w:szCs w:val="20"/>
          <w:vertAlign w:val="superscript"/>
        </w:rPr>
        <w:t>th</w:t>
      </w:r>
      <w:r w:rsidRPr="00C37622">
        <w:rPr>
          <w:rFonts w:ascii="Palatino Linotype" w:hAnsi="Palatino Linotype"/>
          <w:sz w:val="20"/>
          <w:szCs w:val="20"/>
        </w:rPr>
        <w:t xml:space="preserve"> Cir. 1995).</w:t>
      </w:r>
    </w:p>
    <w:p w14:paraId="5EFAAC96" w14:textId="3D2CA489" w:rsidR="00CF614F" w:rsidRPr="00C37622" w:rsidRDefault="00CF614F" w:rsidP="0025762C">
      <w:pPr>
        <w:ind w:firstLine="720"/>
        <w:jc w:val="both"/>
        <w:rPr>
          <w:rFonts w:ascii="Palatino Linotype" w:hAnsi="Palatino Linotype"/>
          <w:sz w:val="20"/>
          <w:szCs w:val="20"/>
        </w:rPr>
      </w:pPr>
      <w:r w:rsidRPr="00C37622">
        <w:rPr>
          <w:rFonts w:ascii="Palatino Linotype" w:hAnsi="Palatino Linotype"/>
          <w:sz w:val="20"/>
          <w:szCs w:val="20"/>
        </w:rPr>
        <w:t xml:space="preserve">This is especially true because, as the Fifth Circuit has noted, when anti-discrimination laws are "applied to ... harassment claims founded solely on verbal insults, pictorial or literary matter, the statute[s] </w:t>
      </w:r>
      <w:proofErr w:type="gramStart"/>
      <w:r w:rsidRPr="00C37622">
        <w:rPr>
          <w:rFonts w:ascii="Palatino Linotype" w:hAnsi="Palatino Linotype"/>
          <w:sz w:val="20"/>
          <w:szCs w:val="20"/>
        </w:rPr>
        <w:t>impose[</w:t>
      </w:r>
      <w:proofErr w:type="gramEnd"/>
      <w:r w:rsidRPr="00C37622">
        <w:rPr>
          <w:rFonts w:ascii="Palatino Linotype" w:hAnsi="Palatino Linotype"/>
          <w:sz w:val="20"/>
          <w:szCs w:val="20"/>
        </w:rPr>
        <w:t xml:space="preserve"> ] content-based, viewpoint-discriminatory restrictions on speech." Indeed, a disparaging comment </w:t>
      </w:r>
      <w:r w:rsidRPr="00C37622">
        <w:rPr>
          <w:rFonts w:ascii="Palatino Linotype" w:hAnsi="Palatino Linotype"/>
          <w:sz w:val="20"/>
          <w:szCs w:val="20"/>
        </w:rPr>
        <w:lastRenderedPageBreak/>
        <w:t>directed at an individual's sex, race, or some other personal characteristic has the potential to create an "hostile environment" — and thus come within the ambit of anti-discrimination laws — precisely because of its sensitive subject matter and because of the odious viewpoint it expresses.</w:t>
      </w:r>
    </w:p>
    <w:p w14:paraId="74B0F528" w14:textId="549CE149" w:rsidR="00CF614F" w:rsidRPr="00C37622" w:rsidRDefault="00CF614F" w:rsidP="0025762C">
      <w:pPr>
        <w:ind w:firstLine="720"/>
        <w:jc w:val="both"/>
        <w:rPr>
          <w:rFonts w:ascii="Palatino Linotype" w:hAnsi="Palatino Linotype"/>
          <w:sz w:val="20"/>
          <w:szCs w:val="20"/>
        </w:rPr>
      </w:pPr>
      <w:r w:rsidRPr="00C37622">
        <w:rPr>
          <w:rFonts w:ascii="Palatino Linotype" w:hAnsi="Palatino Linotype"/>
          <w:sz w:val="20"/>
          <w:szCs w:val="20"/>
        </w:rPr>
        <w:t xml:space="preserve">This sort of content- or viewpoint-based restriction is ordinarily subject to the most exacting First Amendment scrutiny. This point was dramatically illustrated in </w:t>
      </w:r>
      <w:r w:rsidRPr="00C37622">
        <w:rPr>
          <w:rFonts w:ascii="Palatino Linotype" w:hAnsi="Palatino Linotype"/>
          <w:i/>
          <w:sz w:val="20"/>
          <w:szCs w:val="20"/>
        </w:rPr>
        <w:t>R.A.V. v. City of St. Paul</w:t>
      </w:r>
      <w:r w:rsidRPr="00C37622">
        <w:rPr>
          <w:rFonts w:ascii="Palatino Linotype" w:hAnsi="Palatino Linotype"/>
          <w:sz w:val="20"/>
          <w:szCs w:val="20"/>
        </w:rPr>
        <w:t xml:space="preserve"> (1992), in which the Supreme Court struck down a municipal hate-speech ordinance prohibiting "fighting words" that aroused "anger, alarm or resentment on the basis of race, color, creed, religion or gender." . . .</w:t>
      </w:r>
    </w:p>
    <w:p w14:paraId="217B9047" w14:textId="1BA947F4" w:rsidR="00CF614F" w:rsidRPr="00C37622" w:rsidRDefault="00CF614F" w:rsidP="0025762C">
      <w:pPr>
        <w:ind w:firstLine="720"/>
        <w:jc w:val="both"/>
        <w:rPr>
          <w:rFonts w:ascii="Palatino Linotype" w:hAnsi="Palatino Linotype"/>
          <w:sz w:val="20"/>
          <w:szCs w:val="20"/>
        </w:rPr>
      </w:pPr>
      <w:r w:rsidRPr="00C37622">
        <w:rPr>
          <w:rFonts w:ascii="Palatino Linotype" w:hAnsi="Palatino Linotype"/>
          <w:sz w:val="20"/>
          <w:szCs w:val="20"/>
        </w:rPr>
        <w:t>Loosely worded anti-harassment laws may pose some of the same problems as the St. Paul hate speech ordinance: they may regulate deeply offensive and potentially disruptive categories of speech based, at least in part, on subject matter and viewpoint. Although the Supreme Court has written extensively on the scope of workplace harassment, it has never squarely addressed whether harassment, when it takes the form of pure speech, is exempt from First Amendment protection. . . .</w:t>
      </w:r>
    </w:p>
    <w:p w14:paraId="483A0EE4" w14:textId="0479F8C2" w:rsidR="00CF614F" w:rsidRPr="00C37622" w:rsidRDefault="00CF614F" w:rsidP="0025762C">
      <w:pPr>
        <w:ind w:firstLine="720"/>
        <w:jc w:val="both"/>
        <w:rPr>
          <w:rFonts w:ascii="Palatino Linotype" w:hAnsi="Palatino Linotype"/>
          <w:sz w:val="20"/>
          <w:szCs w:val="20"/>
        </w:rPr>
      </w:pPr>
      <w:r w:rsidRPr="00C37622">
        <w:rPr>
          <w:rFonts w:ascii="Palatino Linotype" w:hAnsi="Palatino Linotype"/>
          <w:sz w:val="20"/>
          <w:szCs w:val="20"/>
        </w:rPr>
        <w:t xml:space="preserve">SCASD relies heavily on a passage in </w:t>
      </w:r>
      <w:r w:rsidRPr="00C37622">
        <w:rPr>
          <w:rFonts w:ascii="Palatino Linotype" w:hAnsi="Palatino Linotype"/>
          <w:i/>
          <w:iCs/>
          <w:sz w:val="20"/>
          <w:szCs w:val="20"/>
        </w:rPr>
        <w:t>R.A.V.</w:t>
      </w:r>
      <w:r w:rsidRPr="00C37622">
        <w:rPr>
          <w:rFonts w:ascii="Palatino Linotype" w:hAnsi="Palatino Linotype"/>
          <w:sz w:val="20"/>
          <w:szCs w:val="20"/>
        </w:rPr>
        <w:t xml:space="preserve"> in which the Court suggested in dictum that at least some harassing speech does not warrant First Amendment protection:</w:t>
      </w:r>
    </w:p>
    <w:p w14:paraId="5648D256" w14:textId="75C614D7" w:rsidR="00CF614F" w:rsidRPr="00C37622" w:rsidRDefault="00CF614F" w:rsidP="0025762C">
      <w:pPr>
        <w:ind w:firstLine="720"/>
        <w:jc w:val="both"/>
        <w:rPr>
          <w:rFonts w:ascii="Palatino Linotype" w:hAnsi="Palatino Linotype"/>
          <w:sz w:val="20"/>
          <w:szCs w:val="20"/>
        </w:rPr>
      </w:pPr>
    </w:p>
    <w:p w14:paraId="4B1A7796" w14:textId="4586CA6B" w:rsidR="00CF614F" w:rsidRPr="00C37622" w:rsidRDefault="00CF614F" w:rsidP="00CF614F">
      <w:pPr>
        <w:ind w:left="720" w:right="720"/>
        <w:jc w:val="both"/>
        <w:rPr>
          <w:rFonts w:ascii="Palatino Linotype" w:hAnsi="Palatino Linotype"/>
          <w:iCs/>
          <w:sz w:val="20"/>
          <w:szCs w:val="20"/>
        </w:rPr>
      </w:pPr>
      <w:r w:rsidRPr="00C37622">
        <w:rPr>
          <w:rFonts w:ascii="Palatino Linotype" w:hAnsi="Palatino Linotype"/>
          <w:sz w:val="20"/>
          <w:szCs w:val="20"/>
        </w:rPr>
        <w:t>[S]</w:t>
      </w:r>
      <w:proofErr w:type="spellStart"/>
      <w:r w:rsidRPr="00C37622">
        <w:rPr>
          <w:rFonts w:ascii="Palatino Linotype" w:hAnsi="Palatino Linotype"/>
          <w:sz w:val="20"/>
          <w:szCs w:val="20"/>
        </w:rPr>
        <w:t>ince</w:t>
      </w:r>
      <w:proofErr w:type="spellEnd"/>
      <w:r w:rsidRPr="00C37622">
        <w:rPr>
          <w:rFonts w:ascii="Palatino Linotype" w:hAnsi="Palatino Linotype"/>
          <w:sz w:val="20"/>
          <w:szCs w:val="20"/>
        </w:rPr>
        <w:t xml:space="preserve"> words in some circumstances violate laws directed not against speech but against conduct (a law against treason, for example, is violated by telling the enemy the nation's defense secrets) a particular content-based subcategory of a </w:t>
      </w:r>
      <w:proofErr w:type="spellStart"/>
      <w:r w:rsidRPr="00C37622">
        <w:rPr>
          <w:rFonts w:ascii="Palatino Linotype" w:hAnsi="Palatino Linotype"/>
          <w:sz w:val="20"/>
          <w:szCs w:val="20"/>
        </w:rPr>
        <w:t>proscribable</w:t>
      </w:r>
      <w:proofErr w:type="spellEnd"/>
      <w:r w:rsidRPr="00C37622">
        <w:rPr>
          <w:rFonts w:ascii="Palatino Linotype" w:hAnsi="Palatino Linotype"/>
          <w:sz w:val="20"/>
          <w:szCs w:val="20"/>
        </w:rPr>
        <w:t xml:space="preserve"> class of speech can be swept up incidentally within the reach of a statute directed at conduct rather than speech. . . . Thus, for example, sexually derogatory "fighting words," among other words, may produce a violation of Title VII's general prohibition against sexual discrimination in employment practices. </w:t>
      </w:r>
      <w:r w:rsidRPr="00C37622">
        <w:rPr>
          <w:rFonts w:ascii="Palatino Linotype" w:hAnsi="Palatino Linotype"/>
          <w:i/>
          <w:iCs/>
          <w:sz w:val="20"/>
          <w:szCs w:val="20"/>
        </w:rPr>
        <w:t xml:space="preserve">Where the government does not target conduct on the basis of its expressive content, acts are not shielded from regulation merely because they express a discriminatory idea or philosophy. </w:t>
      </w:r>
      <w:r w:rsidRPr="00C37622">
        <w:rPr>
          <w:rFonts w:ascii="Palatino Linotype" w:hAnsi="Palatino Linotype"/>
          <w:iCs/>
          <w:sz w:val="20"/>
          <w:szCs w:val="20"/>
        </w:rPr>
        <w:t>(emphasis added).</w:t>
      </w:r>
    </w:p>
    <w:p w14:paraId="5F103BDE" w14:textId="0C01CB3B" w:rsidR="00CF614F" w:rsidRPr="00C37622" w:rsidRDefault="00CF614F" w:rsidP="0025762C">
      <w:pPr>
        <w:ind w:firstLine="720"/>
        <w:jc w:val="both"/>
        <w:rPr>
          <w:rFonts w:ascii="Palatino Linotype" w:hAnsi="Palatino Linotype"/>
          <w:iCs/>
          <w:sz w:val="20"/>
          <w:szCs w:val="20"/>
        </w:rPr>
      </w:pPr>
    </w:p>
    <w:p w14:paraId="3BDE5BE5" w14:textId="11BD66D1" w:rsidR="00CF614F" w:rsidRPr="00C37622" w:rsidRDefault="00CF614F" w:rsidP="0025762C">
      <w:pPr>
        <w:ind w:firstLine="720"/>
        <w:jc w:val="both"/>
        <w:rPr>
          <w:rFonts w:ascii="Palatino Linotype" w:hAnsi="Palatino Linotype"/>
          <w:sz w:val="20"/>
          <w:szCs w:val="20"/>
        </w:rPr>
      </w:pPr>
      <w:r w:rsidRPr="00C37622">
        <w:rPr>
          <w:rFonts w:ascii="Palatino Linotype" w:hAnsi="Palatino Linotype"/>
          <w:sz w:val="20"/>
          <w:szCs w:val="20"/>
        </w:rPr>
        <w:t xml:space="preserve">This passage suggests that government may constitutionally prohibit speech whose </w:t>
      </w:r>
      <w:r w:rsidRPr="00C37622">
        <w:rPr>
          <w:rFonts w:ascii="Palatino Linotype" w:hAnsi="Palatino Linotype"/>
          <w:i/>
          <w:iCs/>
          <w:sz w:val="20"/>
          <w:szCs w:val="20"/>
        </w:rPr>
        <w:t>non-expressive</w:t>
      </w:r>
      <w:r w:rsidRPr="00C37622">
        <w:rPr>
          <w:rFonts w:ascii="Palatino Linotype" w:hAnsi="Palatino Linotype"/>
          <w:sz w:val="20"/>
          <w:szCs w:val="20"/>
        </w:rPr>
        <w:t xml:space="preserve"> qualities promote discrimination. For example, a supervisor's statement "sleep with me or you're fired" may be proscribed not on the ground of any expressive idea that the statement communicates, but rather because it facilitates the threat of discriminatory conduct. Despite the purely verbal quality of such a threat, it surely is no more "speech" for First Amendment purposes than the robber's demand "your money or your life." . . . Similarly, we see no constitutional problem with using an employer's offensive speech as evidence of motive or intent in a case involving an allegedly discriminatory employment action.</w:t>
      </w:r>
    </w:p>
    <w:p w14:paraId="2A1E1666" w14:textId="79047B4A" w:rsidR="00CF614F" w:rsidRPr="00C37622" w:rsidRDefault="00CF614F" w:rsidP="0025762C">
      <w:pPr>
        <w:ind w:firstLine="720"/>
        <w:jc w:val="both"/>
        <w:rPr>
          <w:rFonts w:ascii="Palatino Linotype" w:hAnsi="Palatino Linotype"/>
          <w:sz w:val="20"/>
          <w:szCs w:val="20"/>
        </w:rPr>
      </w:pPr>
      <w:r w:rsidRPr="00C37622">
        <w:rPr>
          <w:rFonts w:ascii="Palatino Linotype" w:hAnsi="Palatino Linotype"/>
          <w:sz w:val="20"/>
          <w:szCs w:val="20"/>
        </w:rPr>
        <w:t xml:space="preserve">The previously quoted passage from </w:t>
      </w:r>
      <w:r w:rsidRPr="00C37622">
        <w:rPr>
          <w:rFonts w:ascii="Palatino Linotype" w:hAnsi="Palatino Linotype"/>
          <w:i/>
          <w:iCs/>
          <w:sz w:val="20"/>
          <w:szCs w:val="20"/>
        </w:rPr>
        <w:t>R.A.V.,</w:t>
      </w:r>
      <w:r w:rsidRPr="00C37622">
        <w:rPr>
          <w:rFonts w:ascii="Palatino Linotype" w:hAnsi="Palatino Linotype"/>
          <w:sz w:val="20"/>
          <w:szCs w:val="20"/>
        </w:rPr>
        <w:t xml:space="preserve"> however, does not necessarily mean that anti-discrimination laws are categorically immune from First Amendment challenge when they are applied to prohibit speech solely on the basis of its expressive content. "Harassing" or discriminatory speech, although evil and offensive, may be used to communicate ideas or emotions that nevertheless implicate First Amendment protections. As the Supreme Court has emphatically declared, "[</w:t>
      </w:r>
      <w:proofErr w:type="spellStart"/>
      <w:r w:rsidRPr="00C37622">
        <w:rPr>
          <w:rFonts w:ascii="Palatino Linotype" w:hAnsi="Palatino Linotype"/>
          <w:sz w:val="20"/>
          <w:szCs w:val="20"/>
        </w:rPr>
        <w:t>i</w:t>
      </w:r>
      <w:proofErr w:type="spellEnd"/>
      <w:r w:rsidRPr="00C37622">
        <w:rPr>
          <w:rFonts w:ascii="Palatino Linotype" w:hAnsi="Palatino Linotype"/>
          <w:sz w:val="20"/>
          <w:szCs w:val="20"/>
        </w:rPr>
        <w:t xml:space="preserve">]f there is a bedrock principle underlying the First Amendment, it is that the government may not prohibit the expression of an idea simply because society finds the idea offensive or disagreeable." </w:t>
      </w:r>
      <w:r w:rsidRPr="00C37622">
        <w:rPr>
          <w:rFonts w:ascii="Palatino Linotype" w:hAnsi="Palatino Linotype"/>
          <w:i/>
          <w:sz w:val="20"/>
          <w:szCs w:val="20"/>
        </w:rPr>
        <w:t>Texas v. Johnson</w:t>
      </w:r>
      <w:r w:rsidRPr="00C37622">
        <w:rPr>
          <w:rFonts w:ascii="Palatino Linotype" w:hAnsi="Palatino Linotype"/>
          <w:sz w:val="20"/>
          <w:szCs w:val="20"/>
        </w:rPr>
        <w:t xml:space="preserve"> (1989).</w:t>
      </w:r>
    </w:p>
    <w:p w14:paraId="3BFAC2CA" w14:textId="70868AA4" w:rsidR="00CF614F" w:rsidRPr="00C37622" w:rsidRDefault="00FC2608" w:rsidP="0025762C">
      <w:pPr>
        <w:ind w:firstLine="720"/>
        <w:jc w:val="both"/>
        <w:rPr>
          <w:rFonts w:ascii="Palatino Linotype" w:hAnsi="Palatino Linotype"/>
          <w:sz w:val="20"/>
          <w:szCs w:val="20"/>
        </w:rPr>
      </w:pPr>
      <w:r w:rsidRPr="00C37622">
        <w:rPr>
          <w:rFonts w:ascii="Palatino Linotype" w:hAnsi="Palatino Linotype"/>
          <w:sz w:val="20"/>
          <w:szCs w:val="20"/>
        </w:rPr>
        <w:t>. . . .</w:t>
      </w:r>
    </w:p>
    <w:p w14:paraId="7481970F" w14:textId="677FCEB6" w:rsidR="00FC2608" w:rsidRPr="00C37622" w:rsidRDefault="00FC2608" w:rsidP="0025762C">
      <w:pPr>
        <w:ind w:firstLine="720"/>
        <w:jc w:val="both"/>
        <w:rPr>
          <w:rFonts w:ascii="Palatino Linotype" w:hAnsi="Palatino Linotype"/>
          <w:sz w:val="20"/>
          <w:szCs w:val="20"/>
        </w:rPr>
      </w:pPr>
      <w:r w:rsidRPr="00C37622">
        <w:rPr>
          <w:rFonts w:ascii="Palatino Linotype" w:hAnsi="Palatino Linotype"/>
          <w:sz w:val="20"/>
          <w:szCs w:val="20"/>
        </w:rPr>
        <w:t>In short, we see little basis for the District Court's sweeping assertion that "harassment" — at least when it consists of speech targeted solely on the basis of its expressive content — "has never been considered to be protected activity under the First Amendment." Such a categorical rule is without precedent in the decisions of the Supreme Court or this Court, and it belies the very real tension between anti-harassment laws and the Constitution's guarantee of freedom of speech.</w:t>
      </w:r>
    </w:p>
    <w:p w14:paraId="2D2A1581" w14:textId="1D502206" w:rsidR="00FC2608" w:rsidRPr="00C37622" w:rsidRDefault="00FC2608" w:rsidP="0025762C">
      <w:pPr>
        <w:ind w:firstLine="720"/>
        <w:jc w:val="both"/>
        <w:rPr>
          <w:rFonts w:ascii="Palatino Linotype" w:hAnsi="Palatino Linotype"/>
          <w:sz w:val="20"/>
          <w:szCs w:val="20"/>
        </w:rPr>
      </w:pPr>
      <w:r w:rsidRPr="00C37622">
        <w:rPr>
          <w:rFonts w:ascii="Palatino Linotype" w:hAnsi="Palatino Linotype"/>
          <w:sz w:val="20"/>
          <w:szCs w:val="20"/>
        </w:rPr>
        <w:t xml:space="preserve">We do not suggest, of course, that no application of anti-harassment law to expressive speech can survive First Amendment scrutiny. Certainly, preventing discrimination in the workplace — and in the schools — is not only a legitimate, but a compelling, government interest. And, as some courts and </w:t>
      </w:r>
      <w:r w:rsidRPr="00C37622">
        <w:rPr>
          <w:rFonts w:ascii="Palatino Linotype" w:hAnsi="Palatino Linotype"/>
          <w:sz w:val="20"/>
          <w:szCs w:val="20"/>
        </w:rPr>
        <w:lastRenderedPageBreak/>
        <w:t>commentators have suggested, speech may be more readily subject to restrictions when a school or workplace audience is "captive" and cannot avoid the objectionable speech. We simply note that we have found no categorical rule that divests "harassing" speech, as defined by federal anti-discrimination statutes, of First Amendment protection.</w:t>
      </w:r>
    </w:p>
    <w:p w14:paraId="2635F348" w14:textId="7CD7183D" w:rsidR="00FC2608" w:rsidRPr="00C37622" w:rsidRDefault="00FC2608" w:rsidP="0025762C">
      <w:pPr>
        <w:ind w:firstLine="720"/>
        <w:jc w:val="both"/>
        <w:rPr>
          <w:rFonts w:ascii="Palatino Linotype" w:hAnsi="Palatino Linotype"/>
          <w:sz w:val="20"/>
          <w:szCs w:val="20"/>
        </w:rPr>
      </w:pPr>
      <w:r w:rsidRPr="00C37622">
        <w:rPr>
          <w:rFonts w:ascii="Palatino Linotype" w:hAnsi="Palatino Linotype"/>
          <w:sz w:val="20"/>
          <w:szCs w:val="20"/>
        </w:rPr>
        <w:t>. . . . Assuming for present purposes that the federal anti-discrimination laws are constitutional in all of their applications to pure speech, we note that the SCASD Policy's reach is considerably broader.</w:t>
      </w:r>
    </w:p>
    <w:p w14:paraId="62C9E8E0" w14:textId="32C2DA62" w:rsidR="00FC2608" w:rsidRPr="00C37622" w:rsidRDefault="00FC2608" w:rsidP="0025762C">
      <w:pPr>
        <w:ind w:firstLine="720"/>
        <w:jc w:val="both"/>
        <w:rPr>
          <w:rFonts w:ascii="Palatino Linotype" w:hAnsi="Palatino Linotype"/>
          <w:sz w:val="20"/>
          <w:szCs w:val="20"/>
        </w:rPr>
      </w:pPr>
      <w:r w:rsidRPr="00C37622">
        <w:rPr>
          <w:rFonts w:ascii="Palatino Linotype" w:hAnsi="Palatino Linotype"/>
          <w:sz w:val="20"/>
          <w:szCs w:val="20"/>
        </w:rPr>
        <w:t xml:space="preserve">For one thing, the Policy prohibits harassment based on personal characteristics that are not protected under federal law. . . . Insofar as the policy attempts to prevent students from making negative comments about </w:t>
      </w:r>
      <w:proofErr w:type="spellStart"/>
      <w:r w:rsidRPr="00C37622">
        <w:rPr>
          <w:rFonts w:ascii="Palatino Linotype" w:hAnsi="Palatino Linotype"/>
          <w:sz w:val="20"/>
          <w:szCs w:val="20"/>
        </w:rPr>
        <w:t>each others'</w:t>
      </w:r>
      <w:proofErr w:type="spellEnd"/>
      <w:r w:rsidRPr="00C37622">
        <w:rPr>
          <w:rFonts w:ascii="Palatino Linotype" w:hAnsi="Palatino Linotype"/>
          <w:sz w:val="20"/>
          <w:szCs w:val="20"/>
        </w:rPr>
        <w:t xml:space="preserve"> "appearance," "clothing," and "social skills," it may be brave, futile, or merely silly. But attempting to proscribe negative comments about "values," as that term is commonly used today, is something else altogether. By prohibiting disparaging speech directed at a person's "values," the Policy strikes at the heart of moral and political discourse — the lifeblood of constitutional </w:t>
      </w:r>
      <w:proofErr w:type="spellStart"/>
      <w:r w:rsidRPr="00C37622">
        <w:rPr>
          <w:rFonts w:ascii="Palatino Linotype" w:hAnsi="Palatino Linotype"/>
          <w:sz w:val="20"/>
          <w:szCs w:val="20"/>
        </w:rPr>
        <w:t>self government</w:t>
      </w:r>
      <w:proofErr w:type="spellEnd"/>
      <w:r w:rsidRPr="00C37622">
        <w:rPr>
          <w:rFonts w:ascii="Palatino Linotype" w:hAnsi="Palatino Linotype"/>
          <w:sz w:val="20"/>
          <w:szCs w:val="20"/>
        </w:rPr>
        <w:t xml:space="preserve"> (and democratic education) and the core concern of the First Amendment. That speech about "values" may offend is not cause for its prohibition, but rather the reason for its protection: "a principal `function of free speech under our system of government is to invite dispute. It may indeed best serve its high purpose when it induces a condition of unrest, creates dissatisfaction with conditions as they are, or even stirs people to anger.'" No court or legislature has ever suggested that unwelcome speech directed at another's "values" may be prohibited under the rubric of anti-discrimination.</w:t>
      </w:r>
    </w:p>
    <w:p w14:paraId="7840B3F2" w14:textId="1765416C" w:rsidR="00FC2608" w:rsidRPr="00C37622" w:rsidRDefault="00FC2608" w:rsidP="0025762C">
      <w:pPr>
        <w:ind w:firstLine="720"/>
        <w:jc w:val="both"/>
        <w:rPr>
          <w:rFonts w:ascii="Palatino Linotype" w:hAnsi="Palatino Linotype"/>
          <w:sz w:val="20"/>
          <w:szCs w:val="20"/>
        </w:rPr>
      </w:pPr>
      <w:r w:rsidRPr="00C37622">
        <w:rPr>
          <w:rFonts w:ascii="Palatino Linotype" w:hAnsi="Palatino Linotype"/>
          <w:sz w:val="20"/>
          <w:szCs w:val="20"/>
        </w:rPr>
        <w:t>. . . .</w:t>
      </w:r>
    </w:p>
    <w:p w14:paraId="228B94C4" w14:textId="15DC2F5A" w:rsidR="00FC2608" w:rsidRPr="00C37622" w:rsidRDefault="00FC2608" w:rsidP="0025762C">
      <w:pPr>
        <w:ind w:firstLine="720"/>
        <w:jc w:val="both"/>
        <w:rPr>
          <w:rFonts w:ascii="Palatino Linotype" w:hAnsi="Palatino Linotype"/>
          <w:sz w:val="20"/>
          <w:szCs w:val="20"/>
        </w:rPr>
      </w:pPr>
      <w:r w:rsidRPr="00C37622">
        <w:rPr>
          <w:rFonts w:ascii="Palatino Linotype" w:hAnsi="Palatino Linotype"/>
          <w:sz w:val="20"/>
          <w:szCs w:val="20"/>
        </w:rPr>
        <w:t xml:space="preserve">Moreover, the Policy's prohibition extends beyond harassment that objectively denies a student equal access to a school's education resources. Even on a narrow reading, the Policy unequivocally prohibits any verbal or physical conduct that is based on an enumerated personal characteristic and that "has the </w:t>
      </w:r>
      <w:r w:rsidRPr="00C37622">
        <w:rPr>
          <w:rFonts w:ascii="Palatino Linotype" w:hAnsi="Palatino Linotype"/>
          <w:i/>
          <w:iCs/>
          <w:sz w:val="20"/>
          <w:szCs w:val="20"/>
        </w:rPr>
        <w:t>purpose or effect</w:t>
      </w:r>
      <w:r w:rsidRPr="00C37622">
        <w:rPr>
          <w:rFonts w:ascii="Palatino Linotype" w:hAnsi="Palatino Linotype"/>
          <w:sz w:val="20"/>
          <w:szCs w:val="20"/>
        </w:rPr>
        <w:t xml:space="preserve"> of substantially interfering with a student's educational performance or creating an intimidating, hostile or offensive environment." </w:t>
      </w:r>
      <w:r w:rsidRPr="00C37622">
        <w:rPr>
          <w:rFonts w:ascii="Palatino Linotype" w:hAnsi="Palatino Linotype"/>
          <w:i/>
          <w:iCs/>
          <w:sz w:val="20"/>
          <w:szCs w:val="20"/>
        </w:rPr>
        <w:t>Davis</w:t>
      </w:r>
      <w:r w:rsidRPr="00C37622">
        <w:rPr>
          <w:rFonts w:ascii="Palatino Linotype" w:hAnsi="Palatino Linotype"/>
          <w:i/>
          <w:sz w:val="20"/>
          <w:szCs w:val="20"/>
        </w:rPr>
        <w:t xml:space="preserve"> v. Monroe County Board of Education</w:t>
      </w:r>
      <w:r w:rsidRPr="00C37622">
        <w:rPr>
          <w:rFonts w:ascii="Palatino Linotype" w:hAnsi="Palatino Linotype"/>
          <w:sz w:val="20"/>
          <w:szCs w:val="20"/>
        </w:rPr>
        <w:t xml:space="preserve"> (1999) (emphasis added). Unlike federal anti-harassment law, which imposes liability only when harassment has "a systemic </w:t>
      </w:r>
      <w:r w:rsidRPr="00C37622">
        <w:rPr>
          <w:rFonts w:ascii="Palatino Linotype" w:hAnsi="Palatino Linotype"/>
          <w:i/>
          <w:iCs/>
          <w:sz w:val="20"/>
          <w:szCs w:val="20"/>
        </w:rPr>
        <w:t>effect</w:t>
      </w:r>
      <w:r w:rsidRPr="00C37622">
        <w:rPr>
          <w:rFonts w:ascii="Palatino Linotype" w:hAnsi="Palatino Linotype"/>
          <w:sz w:val="20"/>
          <w:szCs w:val="20"/>
        </w:rPr>
        <w:t xml:space="preserve"> on educational programs and activities," the Policy extends to speech that merely has the "purpose" of harassing another. This formulation, by focusing on the speaker's motive rather than the effect of speech on the learning environment, appears to sweep in those "simple acts of teasing and name-calling" that the </w:t>
      </w:r>
      <w:r w:rsidRPr="00C37622">
        <w:rPr>
          <w:rFonts w:ascii="Palatino Linotype" w:hAnsi="Palatino Linotype"/>
          <w:i/>
          <w:iCs/>
          <w:sz w:val="20"/>
          <w:szCs w:val="20"/>
        </w:rPr>
        <w:t>Davis</w:t>
      </w:r>
      <w:r w:rsidRPr="00C37622">
        <w:rPr>
          <w:rFonts w:ascii="Palatino Linotype" w:hAnsi="Palatino Linotype"/>
          <w:i/>
          <w:sz w:val="20"/>
          <w:szCs w:val="20"/>
        </w:rPr>
        <w:t xml:space="preserve"> </w:t>
      </w:r>
      <w:r w:rsidRPr="00C37622">
        <w:rPr>
          <w:rFonts w:ascii="Palatino Linotype" w:hAnsi="Palatino Linotype"/>
          <w:sz w:val="20"/>
          <w:szCs w:val="20"/>
        </w:rPr>
        <w:t>Court explicitly held were insufficient for liability.</w:t>
      </w:r>
    </w:p>
    <w:p w14:paraId="3B114EEF" w14:textId="7D5D27FA" w:rsidR="00FC2608" w:rsidRPr="00C37622" w:rsidRDefault="00FC2608" w:rsidP="0025762C">
      <w:pPr>
        <w:ind w:firstLine="720"/>
        <w:jc w:val="both"/>
        <w:rPr>
          <w:rFonts w:ascii="Palatino Linotype" w:hAnsi="Palatino Linotype"/>
          <w:sz w:val="20"/>
          <w:szCs w:val="20"/>
        </w:rPr>
      </w:pPr>
      <w:r w:rsidRPr="00C37622">
        <w:rPr>
          <w:rFonts w:ascii="Palatino Linotype" w:hAnsi="Palatino Linotype"/>
          <w:sz w:val="20"/>
          <w:szCs w:val="20"/>
        </w:rPr>
        <w:t>. . . .</w:t>
      </w:r>
    </w:p>
    <w:p w14:paraId="79D38B2B" w14:textId="4AF58C6F" w:rsidR="00FC2608" w:rsidRPr="00C37622" w:rsidRDefault="00FC2608" w:rsidP="0025762C">
      <w:pPr>
        <w:ind w:firstLine="720"/>
        <w:jc w:val="both"/>
        <w:rPr>
          <w:rFonts w:ascii="Palatino Linotype" w:hAnsi="Palatino Linotype"/>
          <w:sz w:val="20"/>
          <w:szCs w:val="20"/>
        </w:rPr>
      </w:pPr>
      <w:r w:rsidRPr="00C37622">
        <w:rPr>
          <w:rFonts w:ascii="Palatino Linotype" w:hAnsi="Palatino Linotype"/>
          <w:sz w:val="20"/>
          <w:szCs w:val="20"/>
        </w:rPr>
        <w:t xml:space="preserve">Under </w:t>
      </w:r>
      <w:r w:rsidRPr="00C37622">
        <w:rPr>
          <w:rFonts w:ascii="Palatino Linotype" w:hAnsi="Palatino Linotype"/>
          <w:i/>
          <w:iCs/>
          <w:sz w:val="20"/>
          <w:szCs w:val="20"/>
        </w:rPr>
        <w:t>Tinker</w:t>
      </w:r>
      <w:r w:rsidR="00E02800" w:rsidRPr="00C37622">
        <w:rPr>
          <w:rFonts w:ascii="Palatino Linotype" w:hAnsi="Palatino Linotype"/>
          <w:i/>
          <w:iCs/>
          <w:sz w:val="20"/>
          <w:szCs w:val="20"/>
        </w:rPr>
        <w:t xml:space="preserve"> v Des Moines Independent Community School District</w:t>
      </w:r>
      <w:r w:rsidR="00E02800" w:rsidRPr="00C37622">
        <w:rPr>
          <w:rFonts w:ascii="Palatino Linotype" w:hAnsi="Palatino Linotype"/>
          <w:iCs/>
          <w:sz w:val="20"/>
          <w:szCs w:val="20"/>
        </w:rPr>
        <w:t xml:space="preserve"> (1969)</w:t>
      </w:r>
      <w:r w:rsidRPr="00C37622">
        <w:rPr>
          <w:rFonts w:ascii="Palatino Linotype" w:hAnsi="Palatino Linotype"/>
          <w:iCs/>
          <w:sz w:val="20"/>
          <w:szCs w:val="20"/>
        </w:rPr>
        <w:t>,</w:t>
      </w:r>
      <w:r w:rsidRPr="00C37622">
        <w:rPr>
          <w:rFonts w:ascii="Palatino Linotype" w:hAnsi="Palatino Linotype"/>
          <w:sz w:val="20"/>
          <w:szCs w:val="20"/>
        </w:rPr>
        <w:t xml:space="preserve"> then, regulation of student speech is generally permissible only when the speech would substantially disrupt or interfere with the work of the school or the rights of other students. As subsequent federal cases have made clear, </w:t>
      </w:r>
      <w:r w:rsidRPr="00C37622">
        <w:rPr>
          <w:rFonts w:ascii="Palatino Linotype" w:hAnsi="Palatino Linotype"/>
          <w:i/>
          <w:iCs/>
          <w:sz w:val="20"/>
          <w:szCs w:val="20"/>
        </w:rPr>
        <w:t>Tinker</w:t>
      </w:r>
      <w:r w:rsidRPr="00C37622">
        <w:rPr>
          <w:rFonts w:ascii="Palatino Linotype" w:hAnsi="Palatino Linotype"/>
          <w:sz w:val="20"/>
          <w:szCs w:val="20"/>
        </w:rPr>
        <w:t xml:space="preserve"> requires a specific and significant fear of disruption, not just some remote apprehension of disturbance.</w:t>
      </w:r>
      <w:r w:rsidR="00E02800" w:rsidRPr="00C37622">
        <w:rPr>
          <w:rFonts w:ascii="Palatino Linotype" w:hAnsi="Palatino Linotype"/>
          <w:sz w:val="20"/>
          <w:szCs w:val="20"/>
        </w:rPr>
        <w:t xml:space="preserve"> . . . </w:t>
      </w:r>
    </w:p>
    <w:p w14:paraId="49196D98" w14:textId="3C333A53" w:rsidR="00E02800" w:rsidRPr="00C37622" w:rsidRDefault="00E02800" w:rsidP="0025762C">
      <w:pPr>
        <w:ind w:firstLine="720"/>
        <w:jc w:val="both"/>
        <w:rPr>
          <w:rFonts w:ascii="Palatino Linotype" w:hAnsi="Palatino Linotype"/>
          <w:sz w:val="20"/>
          <w:szCs w:val="20"/>
        </w:rPr>
      </w:pPr>
      <w:r w:rsidRPr="00C37622">
        <w:rPr>
          <w:rFonts w:ascii="Palatino Linotype" w:hAnsi="Palatino Linotype"/>
          <w:sz w:val="20"/>
          <w:szCs w:val="20"/>
        </w:rPr>
        <w:t xml:space="preserve">. . . . </w:t>
      </w:r>
    </w:p>
    <w:p w14:paraId="14516882" w14:textId="53805195" w:rsidR="00E02800" w:rsidRPr="00C37622" w:rsidRDefault="00E02800" w:rsidP="0025762C">
      <w:pPr>
        <w:ind w:firstLine="720"/>
        <w:jc w:val="both"/>
        <w:rPr>
          <w:rFonts w:ascii="Palatino Linotype" w:hAnsi="Palatino Linotype"/>
          <w:sz w:val="20"/>
          <w:szCs w:val="20"/>
        </w:rPr>
      </w:pPr>
      <w:r w:rsidRPr="00C37622">
        <w:rPr>
          <w:rFonts w:ascii="Palatino Linotype" w:hAnsi="Palatino Linotype"/>
          <w:sz w:val="20"/>
          <w:szCs w:val="20"/>
        </w:rPr>
        <w:t xml:space="preserve">Under </w:t>
      </w:r>
      <w:r w:rsidR="000E073D" w:rsidRPr="00C37622">
        <w:rPr>
          <w:rFonts w:ascii="Palatino Linotype" w:hAnsi="Palatino Linotype"/>
          <w:i/>
          <w:sz w:val="20"/>
          <w:szCs w:val="20"/>
        </w:rPr>
        <w:t>Bethel School District No. 403 v.</w:t>
      </w:r>
      <w:r w:rsidR="000E073D" w:rsidRPr="00C37622">
        <w:rPr>
          <w:rFonts w:ascii="Palatino Linotype" w:hAnsi="Palatino Linotype"/>
          <w:sz w:val="20"/>
          <w:szCs w:val="20"/>
        </w:rPr>
        <w:t xml:space="preserve"> </w:t>
      </w:r>
      <w:r w:rsidRPr="00C37622">
        <w:rPr>
          <w:rFonts w:ascii="Palatino Linotype" w:hAnsi="Palatino Linotype"/>
          <w:i/>
          <w:iCs/>
          <w:sz w:val="20"/>
          <w:szCs w:val="20"/>
        </w:rPr>
        <w:t>Fraser,</w:t>
      </w:r>
      <w:r w:rsidRPr="00C37622">
        <w:rPr>
          <w:rFonts w:ascii="Palatino Linotype" w:hAnsi="Palatino Linotype"/>
          <w:sz w:val="20"/>
          <w:szCs w:val="20"/>
        </w:rPr>
        <w:t xml:space="preserve"> a school may categorically prohibit lewd, vulgar or profane language. Under </w:t>
      </w:r>
      <w:r w:rsidRPr="00C37622">
        <w:rPr>
          <w:rFonts w:ascii="Palatino Linotype" w:hAnsi="Palatino Linotype"/>
          <w:i/>
          <w:iCs/>
          <w:sz w:val="20"/>
          <w:szCs w:val="20"/>
        </w:rPr>
        <w:t>Hazelwood</w:t>
      </w:r>
      <w:r w:rsidR="000E073D" w:rsidRPr="00C37622">
        <w:rPr>
          <w:rFonts w:ascii="Palatino Linotype" w:hAnsi="Palatino Linotype"/>
          <w:i/>
          <w:iCs/>
          <w:sz w:val="20"/>
          <w:szCs w:val="20"/>
        </w:rPr>
        <w:t xml:space="preserve"> School District v. Kuhlmeier</w:t>
      </w:r>
      <w:r w:rsidR="000E073D" w:rsidRPr="00C37622">
        <w:rPr>
          <w:rFonts w:ascii="Palatino Linotype" w:hAnsi="Palatino Linotype"/>
          <w:iCs/>
          <w:sz w:val="20"/>
          <w:szCs w:val="20"/>
        </w:rPr>
        <w:t xml:space="preserve"> (1988)</w:t>
      </w:r>
      <w:r w:rsidRPr="00C37622">
        <w:rPr>
          <w:rFonts w:ascii="Palatino Linotype" w:hAnsi="Palatino Linotype"/>
          <w:i/>
          <w:iCs/>
          <w:sz w:val="20"/>
          <w:szCs w:val="20"/>
        </w:rPr>
        <w:t>,</w:t>
      </w:r>
      <w:r w:rsidRPr="00C37622">
        <w:rPr>
          <w:rFonts w:ascii="Palatino Linotype" w:hAnsi="Palatino Linotype"/>
          <w:sz w:val="20"/>
          <w:szCs w:val="20"/>
        </w:rPr>
        <w:t xml:space="preserve"> a school may regulate school-sponsored speech (that is, speech that a reasonable observer would view as the school's own speech) on the basis of any legitimate pedagogical concern. Speech falling outside of these categories is subject to </w:t>
      </w:r>
      <w:r w:rsidRPr="00C37622">
        <w:rPr>
          <w:rFonts w:ascii="Palatino Linotype" w:hAnsi="Palatino Linotype"/>
          <w:i/>
          <w:iCs/>
          <w:sz w:val="20"/>
          <w:szCs w:val="20"/>
        </w:rPr>
        <w:t>Tinker</w:t>
      </w:r>
      <w:r w:rsidRPr="00C37622">
        <w:rPr>
          <w:rFonts w:ascii="Palatino Linotype" w:hAnsi="Palatino Linotype"/>
          <w:sz w:val="20"/>
          <w:szCs w:val="20"/>
        </w:rPr>
        <w:t>'s general rule: it may be regulated only if it would substantially disrupt school operations or interfere with the right of others.</w:t>
      </w:r>
    </w:p>
    <w:p w14:paraId="7CC6B4D1" w14:textId="7AD348B4" w:rsidR="000E073D" w:rsidRPr="00C37622" w:rsidRDefault="000E073D" w:rsidP="0025762C">
      <w:pPr>
        <w:ind w:firstLine="720"/>
        <w:jc w:val="both"/>
        <w:rPr>
          <w:rFonts w:ascii="Palatino Linotype" w:hAnsi="Palatino Linotype"/>
          <w:sz w:val="20"/>
          <w:szCs w:val="20"/>
        </w:rPr>
      </w:pPr>
      <w:r w:rsidRPr="00C37622">
        <w:rPr>
          <w:rFonts w:ascii="Palatino Linotype" w:hAnsi="Palatino Linotype"/>
          <w:sz w:val="20"/>
          <w:szCs w:val="20"/>
        </w:rPr>
        <w:t xml:space="preserve">. . . . </w:t>
      </w:r>
    </w:p>
    <w:p w14:paraId="16992438" w14:textId="4996007D" w:rsidR="000E073D" w:rsidRPr="00C37622" w:rsidRDefault="000E073D" w:rsidP="0025762C">
      <w:pPr>
        <w:ind w:firstLine="720"/>
        <w:jc w:val="both"/>
        <w:rPr>
          <w:rFonts w:ascii="Palatino Linotype" w:hAnsi="Palatino Linotype"/>
          <w:sz w:val="20"/>
          <w:szCs w:val="20"/>
        </w:rPr>
      </w:pPr>
      <w:r w:rsidRPr="00C37622">
        <w:rPr>
          <w:rFonts w:ascii="Palatino Linotype" w:hAnsi="Palatino Linotype"/>
          <w:sz w:val="20"/>
          <w:szCs w:val="20"/>
        </w:rPr>
        <w:t xml:space="preserve">Certainly, some of these purported definitions of harassment are facially overbroad. No one would suggest that a school could constitutionally ban "any unwelcome verbal . . . conduct which offends . . . an individual because of" some enumerated personal characteristics. Nor could the school constitutionally restrict, without more, any "unwelcome verbal . . . conduct directed at the characteristics of a person's religion." The Supreme Court has held time and again, both within and outside of the school context, that </w:t>
      </w:r>
      <w:r w:rsidRPr="00C37622">
        <w:rPr>
          <w:rFonts w:ascii="Palatino Linotype" w:hAnsi="Palatino Linotype"/>
          <w:sz w:val="20"/>
          <w:szCs w:val="20"/>
        </w:rPr>
        <w:lastRenderedPageBreak/>
        <w:t xml:space="preserve">the mere fact that someone might take offense at the content of speech is not sufficient justification for prohibiting it. </w:t>
      </w:r>
      <w:r w:rsidRPr="00C37622">
        <w:rPr>
          <w:rFonts w:ascii="Palatino Linotype" w:hAnsi="Palatino Linotype"/>
          <w:i/>
          <w:sz w:val="20"/>
          <w:szCs w:val="20"/>
        </w:rPr>
        <w:t>Texas v. Johnson</w:t>
      </w:r>
      <w:r w:rsidRPr="00C37622">
        <w:rPr>
          <w:rFonts w:ascii="Palatino Linotype" w:hAnsi="Palatino Linotype"/>
          <w:sz w:val="20"/>
          <w:szCs w:val="20"/>
        </w:rPr>
        <w:t xml:space="preserve"> (1989); </w:t>
      </w:r>
      <w:r w:rsidRPr="00C37622">
        <w:rPr>
          <w:rFonts w:ascii="Palatino Linotype" w:hAnsi="Palatino Linotype"/>
          <w:i/>
          <w:sz w:val="20"/>
          <w:szCs w:val="20"/>
        </w:rPr>
        <w:t>Street v. New York</w:t>
      </w:r>
      <w:r w:rsidRPr="00C37622">
        <w:rPr>
          <w:rFonts w:ascii="Palatino Linotype" w:hAnsi="Palatino Linotype"/>
          <w:sz w:val="20"/>
          <w:szCs w:val="20"/>
        </w:rPr>
        <w:t xml:space="preserve"> (1969); </w:t>
      </w:r>
      <w:r w:rsidRPr="00C37622">
        <w:rPr>
          <w:rFonts w:ascii="Palatino Linotype" w:hAnsi="Palatino Linotype"/>
          <w:i/>
          <w:sz w:val="20"/>
          <w:szCs w:val="20"/>
        </w:rPr>
        <w:t>Doe v. University of Michigan</w:t>
      </w:r>
      <w:r w:rsidRPr="00C37622">
        <w:rPr>
          <w:rFonts w:ascii="Palatino Linotype" w:hAnsi="Palatino Linotype"/>
          <w:sz w:val="20"/>
          <w:szCs w:val="20"/>
        </w:rPr>
        <w:t xml:space="preserve"> (E.D. MI 1989).</w:t>
      </w:r>
    </w:p>
    <w:p w14:paraId="1A9DAA4E" w14:textId="2A47017D" w:rsidR="000E073D" w:rsidRPr="00C37622" w:rsidRDefault="000E073D" w:rsidP="0025762C">
      <w:pPr>
        <w:ind w:firstLine="720"/>
        <w:jc w:val="both"/>
        <w:rPr>
          <w:rFonts w:ascii="Palatino Linotype" w:hAnsi="Palatino Linotype"/>
          <w:sz w:val="20"/>
          <w:szCs w:val="20"/>
        </w:rPr>
      </w:pPr>
      <w:r w:rsidRPr="00C37622">
        <w:rPr>
          <w:rFonts w:ascii="Palatino Linotype" w:hAnsi="Palatino Linotype"/>
          <w:sz w:val="20"/>
          <w:szCs w:val="20"/>
        </w:rPr>
        <w:t>. . . .</w:t>
      </w:r>
    </w:p>
    <w:p w14:paraId="0110EB49" w14:textId="27519FD5" w:rsidR="000E073D" w:rsidRPr="00C37622" w:rsidRDefault="000E073D" w:rsidP="0025762C">
      <w:pPr>
        <w:ind w:firstLine="720"/>
        <w:jc w:val="both"/>
        <w:rPr>
          <w:rFonts w:ascii="Palatino Linotype" w:hAnsi="Palatino Linotype"/>
          <w:sz w:val="20"/>
          <w:szCs w:val="20"/>
        </w:rPr>
      </w:pPr>
      <w:r w:rsidRPr="00C37622">
        <w:rPr>
          <w:rFonts w:ascii="Palatino Linotype" w:hAnsi="Palatino Linotype"/>
          <w:sz w:val="20"/>
          <w:szCs w:val="20"/>
        </w:rPr>
        <w:t xml:space="preserve">[T]he Policy, even narrowly read, prohibits a substantial amount of non-vulgar, non-sponsored student speech. SCASD must therefore satisfy the </w:t>
      </w:r>
      <w:r w:rsidRPr="00C37622">
        <w:rPr>
          <w:rFonts w:ascii="Palatino Linotype" w:hAnsi="Palatino Linotype"/>
          <w:i/>
          <w:iCs/>
          <w:sz w:val="20"/>
          <w:szCs w:val="20"/>
        </w:rPr>
        <w:t>Tinker</w:t>
      </w:r>
      <w:r w:rsidRPr="00C37622">
        <w:rPr>
          <w:rFonts w:ascii="Palatino Linotype" w:hAnsi="Palatino Linotype"/>
          <w:sz w:val="20"/>
          <w:szCs w:val="20"/>
        </w:rPr>
        <w:t xml:space="preserve"> test by showing that the Policy's restrictions are necessary to prevent substantial disruption or interference with the work of the school or the rights of other students. Applying this test, we conclude that the Policy is substantially overbroad.</w:t>
      </w:r>
    </w:p>
    <w:p w14:paraId="016D74E4" w14:textId="439396AE" w:rsidR="000E073D" w:rsidRPr="00C37622" w:rsidRDefault="000E073D" w:rsidP="0025762C">
      <w:pPr>
        <w:ind w:firstLine="720"/>
        <w:jc w:val="both"/>
        <w:rPr>
          <w:rFonts w:ascii="Palatino Linotype" w:hAnsi="Palatino Linotype"/>
          <w:sz w:val="20"/>
          <w:szCs w:val="20"/>
        </w:rPr>
      </w:pPr>
      <w:r w:rsidRPr="00C37622">
        <w:rPr>
          <w:rFonts w:ascii="Palatino Linotype" w:hAnsi="Palatino Linotype"/>
          <w:sz w:val="20"/>
          <w:szCs w:val="20"/>
        </w:rPr>
        <w:t xml:space="preserve">As an initial matter, the Policy punishes not only speech that actually causes disruption, but also speech that merely intends to do so. . . . This ignores </w:t>
      </w:r>
      <w:r w:rsidRPr="00C37622">
        <w:rPr>
          <w:rFonts w:ascii="Palatino Linotype" w:hAnsi="Palatino Linotype"/>
          <w:i/>
          <w:iCs/>
          <w:sz w:val="20"/>
          <w:szCs w:val="20"/>
        </w:rPr>
        <w:t>Tinker</w:t>
      </w:r>
      <w:r w:rsidRPr="00C37622">
        <w:rPr>
          <w:rFonts w:ascii="Palatino Linotype" w:hAnsi="Palatino Linotype"/>
          <w:sz w:val="20"/>
          <w:szCs w:val="20"/>
        </w:rPr>
        <w:t>'s requirement that a school must reasonably believe that speech will cause actual, material disruption before prohibiting it.</w:t>
      </w:r>
    </w:p>
    <w:p w14:paraId="10085BFE" w14:textId="62C3171A" w:rsidR="000E073D" w:rsidRPr="00C37622" w:rsidRDefault="000E073D" w:rsidP="0025762C">
      <w:pPr>
        <w:ind w:firstLine="720"/>
        <w:jc w:val="both"/>
        <w:rPr>
          <w:rFonts w:ascii="Palatino Linotype" w:hAnsi="Palatino Linotype"/>
          <w:sz w:val="20"/>
          <w:szCs w:val="20"/>
        </w:rPr>
      </w:pPr>
      <w:r w:rsidRPr="00C37622">
        <w:rPr>
          <w:rFonts w:ascii="Palatino Linotype" w:hAnsi="Palatino Linotype"/>
          <w:sz w:val="20"/>
          <w:szCs w:val="20"/>
        </w:rPr>
        <w:t xml:space="preserve">In addition, even if the "purpose" component is ignored, we do not believe that prohibited "harassment," as defined by the Policy, necessarily rises to the level of a substantial disruption under </w:t>
      </w:r>
      <w:r w:rsidRPr="00C37622">
        <w:rPr>
          <w:rFonts w:ascii="Palatino Linotype" w:hAnsi="Palatino Linotype"/>
          <w:i/>
          <w:iCs/>
          <w:sz w:val="20"/>
          <w:szCs w:val="20"/>
        </w:rPr>
        <w:t>Tinker.</w:t>
      </w:r>
      <w:r w:rsidRPr="00C37622">
        <w:rPr>
          <w:rFonts w:ascii="Palatino Linotype" w:hAnsi="Palatino Linotype"/>
          <w:sz w:val="20"/>
          <w:szCs w:val="20"/>
        </w:rPr>
        <w:t xml:space="preserve"> We agree that the Policy's first prong, which prohibits speech that would "substantially </w:t>
      </w:r>
      <w:proofErr w:type="spellStart"/>
      <w:r w:rsidRPr="00C37622">
        <w:rPr>
          <w:rFonts w:ascii="Palatino Linotype" w:hAnsi="Palatino Linotype"/>
          <w:sz w:val="20"/>
          <w:szCs w:val="20"/>
        </w:rPr>
        <w:t>interfer</w:t>
      </w:r>
      <w:proofErr w:type="spellEnd"/>
      <w:r w:rsidRPr="00C37622">
        <w:rPr>
          <w:rFonts w:ascii="Palatino Linotype" w:hAnsi="Palatino Linotype"/>
          <w:sz w:val="20"/>
          <w:szCs w:val="20"/>
        </w:rPr>
        <w:t xml:space="preserve">[e] with a student's educational performance," may satisfy the </w:t>
      </w:r>
      <w:r w:rsidRPr="00C37622">
        <w:rPr>
          <w:rFonts w:ascii="Palatino Linotype" w:hAnsi="Palatino Linotype"/>
          <w:i/>
          <w:iCs/>
          <w:sz w:val="20"/>
          <w:szCs w:val="20"/>
        </w:rPr>
        <w:t>Tinker</w:t>
      </w:r>
      <w:r w:rsidRPr="00C37622">
        <w:rPr>
          <w:rFonts w:ascii="Palatino Linotype" w:hAnsi="Palatino Linotype"/>
          <w:sz w:val="20"/>
          <w:szCs w:val="20"/>
        </w:rPr>
        <w:t xml:space="preserve"> standard. The primary function of a public school is to educate its students; conduct that substantially interferes with the mission is, almost by definition, disruptive to the school environment.</w:t>
      </w:r>
    </w:p>
    <w:p w14:paraId="715A2B11" w14:textId="104F4EF4" w:rsidR="000E073D" w:rsidRPr="00C37622" w:rsidRDefault="00C37622" w:rsidP="0025762C">
      <w:pPr>
        <w:ind w:firstLine="720"/>
        <w:jc w:val="both"/>
        <w:rPr>
          <w:rFonts w:ascii="Palatino Linotype" w:hAnsi="Palatino Linotype"/>
          <w:sz w:val="20"/>
          <w:szCs w:val="20"/>
        </w:rPr>
      </w:pPr>
      <w:r w:rsidRPr="00C37622">
        <w:rPr>
          <w:rFonts w:ascii="Palatino Linotype" w:hAnsi="Palatino Linotype"/>
          <w:sz w:val="20"/>
          <w:szCs w:val="20"/>
        </w:rPr>
        <w:t>The Policy's second criterion, however — which prohibits speech that "</w:t>
      </w:r>
      <w:proofErr w:type="spellStart"/>
      <w:r w:rsidRPr="00C37622">
        <w:rPr>
          <w:rFonts w:ascii="Palatino Linotype" w:hAnsi="Palatino Linotype"/>
          <w:sz w:val="20"/>
          <w:szCs w:val="20"/>
        </w:rPr>
        <w:t>creat</w:t>
      </w:r>
      <w:proofErr w:type="spellEnd"/>
      <w:r w:rsidRPr="00C37622">
        <w:rPr>
          <w:rFonts w:ascii="Palatino Linotype" w:hAnsi="Palatino Linotype"/>
          <w:sz w:val="20"/>
          <w:szCs w:val="20"/>
        </w:rPr>
        <w:t>[es] an intimidating, hostile or offensive environment" — poses a more difficult problem</w:t>
      </w:r>
      <w:proofErr w:type="gramStart"/>
      <w:r w:rsidRPr="00C37622">
        <w:rPr>
          <w:rFonts w:ascii="Palatino Linotype" w:hAnsi="Palatino Linotype"/>
          <w:sz w:val="20"/>
          <w:szCs w:val="20"/>
        </w:rPr>
        <w:t>. . . .</w:t>
      </w:r>
      <w:proofErr w:type="gramEnd"/>
    </w:p>
    <w:p w14:paraId="4D94AE92" w14:textId="25C929F4" w:rsidR="00C37622" w:rsidRPr="00C37622" w:rsidRDefault="00C37622" w:rsidP="0025762C">
      <w:pPr>
        <w:ind w:firstLine="720"/>
        <w:jc w:val="both"/>
        <w:rPr>
          <w:rFonts w:ascii="Palatino Linotype" w:hAnsi="Palatino Linotype"/>
          <w:sz w:val="20"/>
          <w:szCs w:val="20"/>
        </w:rPr>
      </w:pPr>
      <w:r w:rsidRPr="00C37622">
        <w:rPr>
          <w:rFonts w:ascii="Palatino Linotype" w:hAnsi="Palatino Linotype"/>
          <w:sz w:val="20"/>
          <w:szCs w:val="20"/>
        </w:rPr>
        <w:t>. . . . Because the Policy's "hostile environment" prong does not, on its face, require any threshold showing of severity or pervasiveness, it could conceivably be applied to cover any speech about some enumerated personal characteristics the content of which offends someone. This could include much "core" political and religious speech: the Policy's "Definitions" section lists as examples of covered harassment "negative" or "derogatory" speech about such contentious issues as "racial customs," "religious tradition," "language," "sexual orientation," and "values." Such speech, when it does not pose a realistic threat of substantial disruption, is within a student's First Amendment rights.</w:t>
      </w:r>
    </w:p>
    <w:p w14:paraId="315B3601" w14:textId="4404797A" w:rsidR="00C37622" w:rsidRPr="00C37622" w:rsidRDefault="00C37622" w:rsidP="0025762C">
      <w:pPr>
        <w:ind w:firstLine="720"/>
        <w:jc w:val="both"/>
        <w:rPr>
          <w:rFonts w:ascii="Palatino Linotype" w:hAnsi="Palatino Linotype"/>
          <w:sz w:val="20"/>
          <w:szCs w:val="20"/>
        </w:rPr>
      </w:pPr>
      <w:r w:rsidRPr="00C37622">
        <w:rPr>
          <w:rFonts w:ascii="Palatino Linotype" w:hAnsi="Palatino Linotype"/>
          <w:sz w:val="20"/>
          <w:szCs w:val="20"/>
        </w:rPr>
        <w:t>. . . .</w:t>
      </w:r>
    </w:p>
    <w:p w14:paraId="7AB51BCD" w14:textId="16012A9A" w:rsidR="00C37622" w:rsidRPr="00C37622" w:rsidRDefault="00C37622" w:rsidP="0025762C">
      <w:pPr>
        <w:ind w:firstLine="720"/>
        <w:jc w:val="both"/>
        <w:rPr>
          <w:rFonts w:ascii="Palatino Linotype" w:hAnsi="Palatino Linotype"/>
          <w:sz w:val="20"/>
          <w:szCs w:val="20"/>
        </w:rPr>
      </w:pPr>
      <w:r w:rsidRPr="00C37622">
        <w:rPr>
          <w:rFonts w:ascii="Palatino Linotype" w:hAnsi="Palatino Linotype"/>
          <w:i/>
          <w:sz w:val="20"/>
          <w:szCs w:val="20"/>
        </w:rPr>
        <w:t>Reversed</w:t>
      </w:r>
      <w:r w:rsidRPr="00C37622">
        <w:rPr>
          <w:rFonts w:ascii="Palatino Linotype" w:hAnsi="Palatino Linotype"/>
          <w:sz w:val="20"/>
          <w:szCs w:val="20"/>
        </w:rPr>
        <w:t>.</w:t>
      </w:r>
    </w:p>
    <w:p w14:paraId="45CC0560" w14:textId="3C70DFC3" w:rsidR="00C37622" w:rsidRPr="00C37622" w:rsidRDefault="00C37622" w:rsidP="0025762C">
      <w:pPr>
        <w:ind w:firstLine="720"/>
        <w:jc w:val="both"/>
        <w:rPr>
          <w:rFonts w:ascii="Palatino Linotype" w:hAnsi="Palatino Linotype"/>
          <w:sz w:val="20"/>
          <w:szCs w:val="20"/>
        </w:rPr>
      </w:pPr>
    </w:p>
    <w:p w14:paraId="514505F1" w14:textId="712254FA" w:rsidR="00C37622" w:rsidRPr="00C37622" w:rsidRDefault="00C37622" w:rsidP="00C37622">
      <w:pPr>
        <w:jc w:val="both"/>
        <w:rPr>
          <w:rFonts w:ascii="Palatino Linotype" w:hAnsi="Palatino Linotype"/>
          <w:sz w:val="20"/>
          <w:szCs w:val="20"/>
        </w:rPr>
      </w:pPr>
      <w:r w:rsidRPr="00C37622">
        <w:rPr>
          <w:rFonts w:ascii="Palatino Linotype" w:hAnsi="Palatino Linotype"/>
          <w:sz w:val="20"/>
          <w:szCs w:val="20"/>
        </w:rPr>
        <w:t>JUDGE REDNDELL, concurring.</w:t>
      </w:r>
    </w:p>
    <w:p w14:paraId="4D22F9D3" w14:textId="612BBA56" w:rsidR="00C37622" w:rsidRPr="00C37622" w:rsidRDefault="00C37622" w:rsidP="0025762C">
      <w:pPr>
        <w:ind w:firstLine="720"/>
        <w:jc w:val="both"/>
        <w:rPr>
          <w:rFonts w:ascii="Palatino Linotype" w:hAnsi="Palatino Linotype"/>
          <w:sz w:val="20"/>
          <w:szCs w:val="20"/>
        </w:rPr>
      </w:pPr>
      <w:r w:rsidRPr="00C37622">
        <w:rPr>
          <w:rFonts w:ascii="Palatino Linotype" w:hAnsi="Palatino Linotype"/>
          <w:sz w:val="20"/>
          <w:szCs w:val="20"/>
        </w:rPr>
        <w:t>. . . .</w:t>
      </w:r>
    </w:p>
    <w:sectPr w:rsidR="00C37622" w:rsidRPr="00C376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414B3" w14:textId="77777777" w:rsidR="008E68C2" w:rsidRDefault="008E68C2" w:rsidP="000E2F1A">
      <w:r>
        <w:separator/>
      </w:r>
    </w:p>
  </w:endnote>
  <w:endnote w:type="continuationSeparator" w:id="0">
    <w:p w14:paraId="1F3F18B0" w14:textId="77777777" w:rsidR="008E68C2" w:rsidRDefault="008E68C2"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0E80F5DC" w:rsidR="000E2F1A" w:rsidRDefault="000E2F1A">
        <w:pPr>
          <w:pStyle w:val="Footer"/>
          <w:jc w:val="center"/>
        </w:pPr>
        <w:r>
          <w:fldChar w:fldCharType="begin"/>
        </w:r>
        <w:r>
          <w:instrText xml:space="preserve"> PAGE   \* MERGEFORMAT </w:instrText>
        </w:r>
        <w:r>
          <w:fldChar w:fldCharType="separate"/>
        </w:r>
        <w:r w:rsidR="00C37622">
          <w:rPr>
            <w:noProof/>
          </w:rPr>
          <w:t>4</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F3DD1" w14:textId="77777777" w:rsidR="008E68C2" w:rsidRDefault="008E68C2" w:rsidP="000E2F1A">
      <w:r>
        <w:separator/>
      </w:r>
    </w:p>
  </w:footnote>
  <w:footnote w:type="continuationSeparator" w:id="0">
    <w:p w14:paraId="3A9DF726" w14:textId="77777777" w:rsidR="008E68C2" w:rsidRDefault="008E68C2"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7EC4"/>
    <w:rsid w:val="0009312E"/>
    <w:rsid w:val="000B1EB6"/>
    <w:rsid w:val="000B2ED5"/>
    <w:rsid w:val="000C0A00"/>
    <w:rsid w:val="000D59E7"/>
    <w:rsid w:val="000D6A67"/>
    <w:rsid w:val="000E073D"/>
    <w:rsid w:val="000E0C08"/>
    <w:rsid w:val="000E0C81"/>
    <w:rsid w:val="000E2F1A"/>
    <w:rsid w:val="000E5CF9"/>
    <w:rsid w:val="000E5EEF"/>
    <w:rsid w:val="000F1C11"/>
    <w:rsid w:val="000F4C64"/>
    <w:rsid w:val="00101523"/>
    <w:rsid w:val="00102D10"/>
    <w:rsid w:val="001246B5"/>
    <w:rsid w:val="00135FF7"/>
    <w:rsid w:val="00143EBC"/>
    <w:rsid w:val="00164EFB"/>
    <w:rsid w:val="00173E2A"/>
    <w:rsid w:val="00180936"/>
    <w:rsid w:val="001A3876"/>
    <w:rsid w:val="001A4EBE"/>
    <w:rsid w:val="001A552C"/>
    <w:rsid w:val="001A65C7"/>
    <w:rsid w:val="001B6032"/>
    <w:rsid w:val="001D2A6C"/>
    <w:rsid w:val="001D457B"/>
    <w:rsid w:val="001F65A6"/>
    <w:rsid w:val="00200749"/>
    <w:rsid w:val="00200816"/>
    <w:rsid w:val="002020F3"/>
    <w:rsid w:val="00215764"/>
    <w:rsid w:val="002315CE"/>
    <w:rsid w:val="002370EC"/>
    <w:rsid w:val="0024712D"/>
    <w:rsid w:val="0025762C"/>
    <w:rsid w:val="00262C7F"/>
    <w:rsid w:val="002833A8"/>
    <w:rsid w:val="002A5606"/>
    <w:rsid w:val="002B34BE"/>
    <w:rsid w:val="002B51C6"/>
    <w:rsid w:val="002B619F"/>
    <w:rsid w:val="002C5592"/>
    <w:rsid w:val="002C58E5"/>
    <w:rsid w:val="002F4939"/>
    <w:rsid w:val="002F508B"/>
    <w:rsid w:val="003207CD"/>
    <w:rsid w:val="00322694"/>
    <w:rsid w:val="00354B36"/>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F2081"/>
    <w:rsid w:val="003F2AAD"/>
    <w:rsid w:val="00436265"/>
    <w:rsid w:val="004527EB"/>
    <w:rsid w:val="0046492E"/>
    <w:rsid w:val="00467D49"/>
    <w:rsid w:val="00471B24"/>
    <w:rsid w:val="004838F7"/>
    <w:rsid w:val="00490E71"/>
    <w:rsid w:val="004B27DE"/>
    <w:rsid w:val="004B5528"/>
    <w:rsid w:val="004E456E"/>
    <w:rsid w:val="004F7FE7"/>
    <w:rsid w:val="00526FB3"/>
    <w:rsid w:val="00530FC0"/>
    <w:rsid w:val="00531A8A"/>
    <w:rsid w:val="00553C96"/>
    <w:rsid w:val="00562B67"/>
    <w:rsid w:val="00565B89"/>
    <w:rsid w:val="005927B1"/>
    <w:rsid w:val="00595709"/>
    <w:rsid w:val="005976CB"/>
    <w:rsid w:val="005A4FD0"/>
    <w:rsid w:val="005A5A99"/>
    <w:rsid w:val="005B1713"/>
    <w:rsid w:val="005C1BBA"/>
    <w:rsid w:val="005D4895"/>
    <w:rsid w:val="005E48BF"/>
    <w:rsid w:val="00611B9B"/>
    <w:rsid w:val="00622CF5"/>
    <w:rsid w:val="006276A1"/>
    <w:rsid w:val="00640D40"/>
    <w:rsid w:val="00644E22"/>
    <w:rsid w:val="0065732B"/>
    <w:rsid w:val="00660729"/>
    <w:rsid w:val="00664205"/>
    <w:rsid w:val="00671558"/>
    <w:rsid w:val="00676590"/>
    <w:rsid w:val="00683143"/>
    <w:rsid w:val="006B08D2"/>
    <w:rsid w:val="006C7931"/>
    <w:rsid w:val="006D6615"/>
    <w:rsid w:val="006E2465"/>
    <w:rsid w:val="006E5EF8"/>
    <w:rsid w:val="006F5095"/>
    <w:rsid w:val="00700E02"/>
    <w:rsid w:val="00704132"/>
    <w:rsid w:val="007138C4"/>
    <w:rsid w:val="00715EF2"/>
    <w:rsid w:val="00725F35"/>
    <w:rsid w:val="00745A4D"/>
    <w:rsid w:val="00751604"/>
    <w:rsid w:val="007549DD"/>
    <w:rsid w:val="00774FC8"/>
    <w:rsid w:val="00793EE2"/>
    <w:rsid w:val="007A3463"/>
    <w:rsid w:val="007A4B49"/>
    <w:rsid w:val="007B1007"/>
    <w:rsid w:val="007C34AB"/>
    <w:rsid w:val="007E3A9B"/>
    <w:rsid w:val="00852E91"/>
    <w:rsid w:val="00860F3F"/>
    <w:rsid w:val="00864010"/>
    <w:rsid w:val="00871CB2"/>
    <w:rsid w:val="008823B0"/>
    <w:rsid w:val="00882A59"/>
    <w:rsid w:val="00882CB5"/>
    <w:rsid w:val="00892F25"/>
    <w:rsid w:val="00893A90"/>
    <w:rsid w:val="0089467E"/>
    <w:rsid w:val="008A26B4"/>
    <w:rsid w:val="008A5E74"/>
    <w:rsid w:val="008C1AC6"/>
    <w:rsid w:val="008C57E4"/>
    <w:rsid w:val="008E68C2"/>
    <w:rsid w:val="00917F4D"/>
    <w:rsid w:val="009223C8"/>
    <w:rsid w:val="00924003"/>
    <w:rsid w:val="00935DAF"/>
    <w:rsid w:val="00946070"/>
    <w:rsid w:val="00950479"/>
    <w:rsid w:val="00954C68"/>
    <w:rsid w:val="009611F9"/>
    <w:rsid w:val="00976265"/>
    <w:rsid w:val="009A28D6"/>
    <w:rsid w:val="009B16AC"/>
    <w:rsid w:val="009B27B0"/>
    <w:rsid w:val="009D4FD3"/>
    <w:rsid w:val="00A14A1B"/>
    <w:rsid w:val="00A33637"/>
    <w:rsid w:val="00A5645D"/>
    <w:rsid w:val="00A616D7"/>
    <w:rsid w:val="00A62C6F"/>
    <w:rsid w:val="00A875D2"/>
    <w:rsid w:val="00A972B8"/>
    <w:rsid w:val="00AB13A6"/>
    <w:rsid w:val="00AB391E"/>
    <w:rsid w:val="00AC7C58"/>
    <w:rsid w:val="00AE1E95"/>
    <w:rsid w:val="00B0763C"/>
    <w:rsid w:val="00B116BB"/>
    <w:rsid w:val="00B14CCC"/>
    <w:rsid w:val="00B24C72"/>
    <w:rsid w:val="00B41CA8"/>
    <w:rsid w:val="00B571F9"/>
    <w:rsid w:val="00B709E7"/>
    <w:rsid w:val="00B73345"/>
    <w:rsid w:val="00B9406A"/>
    <w:rsid w:val="00B97D2B"/>
    <w:rsid w:val="00BA49AE"/>
    <w:rsid w:val="00BB6128"/>
    <w:rsid w:val="00BC3046"/>
    <w:rsid w:val="00BC62BB"/>
    <w:rsid w:val="00BD0C6C"/>
    <w:rsid w:val="00BD1AD0"/>
    <w:rsid w:val="00BF4162"/>
    <w:rsid w:val="00BF69A4"/>
    <w:rsid w:val="00C0192C"/>
    <w:rsid w:val="00C04042"/>
    <w:rsid w:val="00C04969"/>
    <w:rsid w:val="00C26AF0"/>
    <w:rsid w:val="00C37622"/>
    <w:rsid w:val="00C47BFC"/>
    <w:rsid w:val="00C64673"/>
    <w:rsid w:val="00C71127"/>
    <w:rsid w:val="00C74E17"/>
    <w:rsid w:val="00C87E6F"/>
    <w:rsid w:val="00C921EB"/>
    <w:rsid w:val="00C92C6B"/>
    <w:rsid w:val="00C92E8E"/>
    <w:rsid w:val="00CA2204"/>
    <w:rsid w:val="00CB3953"/>
    <w:rsid w:val="00CC59BB"/>
    <w:rsid w:val="00CD5307"/>
    <w:rsid w:val="00CF05A5"/>
    <w:rsid w:val="00CF2A5B"/>
    <w:rsid w:val="00CF614F"/>
    <w:rsid w:val="00D16AD8"/>
    <w:rsid w:val="00D349A9"/>
    <w:rsid w:val="00D61977"/>
    <w:rsid w:val="00D64B92"/>
    <w:rsid w:val="00D9018F"/>
    <w:rsid w:val="00DA08BA"/>
    <w:rsid w:val="00DB4AF4"/>
    <w:rsid w:val="00DB755B"/>
    <w:rsid w:val="00DC1D01"/>
    <w:rsid w:val="00DC23C4"/>
    <w:rsid w:val="00DD6037"/>
    <w:rsid w:val="00DE6176"/>
    <w:rsid w:val="00E02800"/>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E58DA"/>
    <w:rsid w:val="00EE65D8"/>
    <w:rsid w:val="00EF13B7"/>
    <w:rsid w:val="00EF1E2F"/>
    <w:rsid w:val="00EF1E9C"/>
    <w:rsid w:val="00EF4443"/>
    <w:rsid w:val="00EF65A0"/>
    <w:rsid w:val="00F10497"/>
    <w:rsid w:val="00F14AD4"/>
    <w:rsid w:val="00F16AC3"/>
    <w:rsid w:val="00F23945"/>
    <w:rsid w:val="00F26BCC"/>
    <w:rsid w:val="00F27744"/>
    <w:rsid w:val="00F306DB"/>
    <w:rsid w:val="00F35904"/>
    <w:rsid w:val="00F4550B"/>
    <w:rsid w:val="00F457E3"/>
    <w:rsid w:val="00F6123E"/>
    <w:rsid w:val="00F666B6"/>
    <w:rsid w:val="00F818F7"/>
    <w:rsid w:val="00FA2A63"/>
    <w:rsid w:val="00FB256D"/>
    <w:rsid w:val="00FB5FF3"/>
    <w:rsid w:val="00FB7D70"/>
    <w:rsid w:val="00FC2608"/>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C3FAE-0E68-4C26-9F53-A969625A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2020-12-22T22:08:00Z</dcterms:created>
  <dcterms:modified xsi:type="dcterms:W3CDTF">2020-12-22T22:08:00Z</dcterms:modified>
</cp:coreProperties>
</file>