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13613A" w:rsidRDefault="004B0267" w:rsidP="004B0267">
      <w:pPr>
        <w:jc w:val="center"/>
        <w:rPr>
          <w:rFonts w:ascii="Palatino Linotype" w:hAnsi="Palatino Linotype"/>
          <w:sz w:val="20"/>
          <w:szCs w:val="20"/>
        </w:rPr>
      </w:pPr>
      <w:r w:rsidRPr="0013613A">
        <w:rPr>
          <w:rFonts w:ascii="Palatino Linotype" w:hAnsi="Palatino Linotype"/>
          <w:sz w:val="20"/>
          <w:szCs w:val="20"/>
        </w:rPr>
        <w:t>AMERICAN CONSTITUTIONALISM</w:t>
      </w:r>
    </w:p>
    <w:p w14:paraId="66C7FC64" w14:textId="77777777" w:rsidR="004B0267" w:rsidRPr="0013613A" w:rsidRDefault="004B0267" w:rsidP="004B0267">
      <w:pPr>
        <w:jc w:val="center"/>
        <w:rPr>
          <w:rFonts w:ascii="Palatino Linotype" w:hAnsi="Palatino Linotype"/>
          <w:sz w:val="20"/>
          <w:szCs w:val="20"/>
        </w:rPr>
      </w:pPr>
      <w:r w:rsidRPr="0013613A">
        <w:rPr>
          <w:rFonts w:ascii="Palatino Linotype" w:hAnsi="Palatino Linotype"/>
          <w:sz w:val="20"/>
          <w:szCs w:val="20"/>
        </w:rPr>
        <w:t>VOLUME II: RIGHTS AND LIBERTIES</w:t>
      </w:r>
    </w:p>
    <w:p w14:paraId="212A7BA5" w14:textId="77777777" w:rsidR="004B0267" w:rsidRPr="0013613A" w:rsidRDefault="004B0267" w:rsidP="004B0267">
      <w:pPr>
        <w:jc w:val="center"/>
        <w:rPr>
          <w:rFonts w:ascii="Palatino Linotype" w:hAnsi="Palatino Linotype"/>
          <w:sz w:val="20"/>
          <w:szCs w:val="20"/>
        </w:rPr>
      </w:pPr>
      <w:r w:rsidRPr="0013613A">
        <w:rPr>
          <w:rFonts w:ascii="Palatino Linotype" w:hAnsi="Palatino Linotype"/>
          <w:sz w:val="20"/>
          <w:szCs w:val="20"/>
        </w:rPr>
        <w:t>Howard Gillman • Mark A. Graber • Keith E. Whittington</w:t>
      </w:r>
    </w:p>
    <w:p w14:paraId="75D63152" w14:textId="77777777" w:rsidR="004B0267" w:rsidRPr="0013613A" w:rsidRDefault="004B0267" w:rsidP="004B0267">
      <w:pPr>
        <w:jc w:val="center"/>
        <w:rPr>
          <w:rFonts w:ascii="Palatino Linotype" w:hAnsi="Palatino Linotype"/>
          <w:sz w:val="20"/>
          <w:szCs w:val="20"/>
        </w:rPr>
      </w:pPr>
    </w:p>
    <w:p w14:paraId="352F0276" w14:textId="77777777" w:rsidR="004B0267" w:rsidRPr="0013613A" w:rsidRDefault="004B0267" w:rsidP="004B0267">
      <w:pPr>
        <w:jc w:val="center"/>
        <w:rPr>
          <w:rFonts w:ascii="Palatino Linotype" w:hAnsi="Palatino Linotype"/>
          <w:sz w:val="20"/>
          <w:szCs w:val="20"/>
        </w:rPr>
      </w:pPr>
      <w:r w:rsidRPr="0013613A">
        <w:rPr>
          <w:rFonts w:ascii="Palatino Linotype" w:hAnsi="Palatino Linotype"/>
          <w:sz w:val="20"/>
          <w:szCs w:val="20"/>
        </w:rPr>
        <w:t>Supplementary Material</w:t>
      </w:r>
    </w:p>
    <w:p w14:paraId="677E4374" w14:textId="77777777" w:rsidR="004B0267" w:rsidRPr="0013613A" w:rsidRDefault="004B0267" w:rsidP="004B0267">
      <w:pPr>
        <w:jc w:val="center"/>
        <w:rPr>
          <w:rFonts w:ascii="Palatino Linotype" w:hAnsi="Palatino Linotype"/>
          <w:sz w:val="20"/>
          <w:szCs w:val="20"/>
        </w:rPr>
      </w:pPr>
    </w:p>
    <w:p w14:paraId="71EEAA21" w14:textId="7B4B86EC" w:rsidR="004B0267" w:rsidRPr="0013613A" w:rsidRDefault="004B0267" w:rsidP="004B0267">
      <w:pPr>
        <w:jc w:val="center"/>
        <w:rPr>
          <w:rFonts w:ascii="Palatino Linotype" w:hAnsi="Palatino Linotype"/>
          <w:sz w:val="20"/>
          <w:szCs w:val="20"/>
        </w:rPr>
      </w:pPr>
      <w:r w:rsidRPr="0013613A">
        <w:rPr>
          <w:rFonts w:ascii="Palatino Linotype" w:hAnsi="Palatino Linotype"/>
          <w:sz w:val="20"/>
          <w:szCs w:val="20"/>
        </w:rPr>
        <w:t>Chapter 1</w:t>
      </w:r>
      <w:r w:rsidR="0002735D" w:rsidRPr="0013613A">
        <w:rPr>
          <w:rFonts w:ascii="Palatino Linotype" w:hAnsi="Palatino Linotype"/>
          <w:sz w:val="20"/>
          <w:szCs w:val="20"/>
        </w:rPr>
        <w:t>2</w:t>
      </w:r>
      <w:r w:rsidRPr="0013613A">
        <w:rPr>
          <w:rFonts w:ascii="Palatino Linotype" w:hAnsi="Palatino Linotype"/>
          <w:sz w:val="20"/>
          <w:szCs w:val="20"/>
        </w:rPr>
        <w:t>: The Contemporary Era—Democratic Rights/Free Speech/</w:t>
      </w:r>
      <w:r w:rsidR="00C7428F" w:rsidRPr="0013613A">
        <w:rPr>
          <w:rFonts w:ascii="Palatino Linotype" w:hAnsi="Palatino Linotype"/>
          <w:bCs/>
          <w:sz w:val="20"/>
          <w:szCs w:val="20"/>
        </w:rPr>
        <w:t>Advocacy</w:t>
      </w:r>
    </w:p>
    <w:p w14:paraId="376CAB86" w14:textId="30D46A74" w:rsidR="00101523" w:rsidRPr="0013613A" w:rsidRDefault="00101523" w:rsidP="00101523">
      <w:pPr>
        <w:jc w:val="both"/>
        <w:rPr>
          <w:rFonts w:ascii="Palatino Linotype" w:hAnsi="Palatino Linotype"/>
          <w:sz w:val="20"/>
          <w:szCs w:val="20"/>
        </w:rPr>
      </w:pPr>
    </w:p>
    <w:p w14:paraId="5EFCFE15" w14:textId="77777777" w:rsidR="000E2F1A" w:rsidRPr="0013613A" w:rsidRDefault="00E00265">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0C5D267" w:rsidR="00065E2E" w:rsidRPr="0013613A" w:rsidRDefault="00C7428F" w:rsidP="000E2F1A">
      <w:pPr>
        <w:jc w:val="center"/>
        <w:rPr>
          <w:rFonts w:ascii="Palatino Linotype" w:hAnsi="Palatino Linotype" w:cs="Times New Roman"/>
          <w:sz w:val="20"/>
          <w:szCs w:val="20"/>
        </w:rPr>
      </w:pPr>
      <w:r w:rsidRPr="0013613A">
        <w:rPr>
          <w:rFonts w:ascii="Palatino Linotype" w:hAnsi="Palatino Linotype" w:cs="Times New Roman"/>
          <w:b/>
          <w:sz w:val="20"/>
          <w:szCs w:val="20"/>
        </w:rPr>
        <w:t xml:space="preserve">United States v. </w:t>
      </w:r>
      <w:proofErr w:type="spellStart"/>
      <w:r w:rsidRPr="0013613A">
        <w:rPr>
          <w:rFonts w:ascii="Palatino Linotype" w:hAnsi="Palatino Linotype" w:cs="Times New Roman"/>
          <w:b/>
          <w:sz w:val="20"/>
          <w:szCs w:val="20"/>
        </w:rPr>
        <w:t>Miselis</w:t>
      </w:r>
      <w:proofErr w:type="spellEnd"/>
      <w:r w:rsidR="00393A7B" w:rsidRPr="0013613A">
        <w:rPr>
          <w:rFonts w:ascii="Palatino Linotype" w:hAnsi="Palatino Linotype" w:cs="Times New Roman"/>
          <w:b/>
          <w:sz w:val="20"/>
          <w:szCs w:val="20"/>
        </w:rPr>
        <w:t xml:space="preserve">, </w:t>
      </w:r>
      <w:r w:rsidRPr="0013613A">
        <w:rPr>
          <w:rFonts w:ascii="Palatino Linotype" w:hAnsi="Palatino Linotype" w:cs="Times New Roman"/>
          <w:b/>
          <w:sz w:val="20"/>
          <w:szCs w:val="20"/>
        </w:rPr>
        <w:t>No. 19-4550</w:t>
      </w:r>
      <w:r w:rsidR="001246B5" w:rsidRPr="0013613A">
        <w:rPr>
          <w:rFonts w:ascii="Palatino Linotype" w:hAnsi="Palatino Linotype" w:cs="Times New Roman"/>
          <w:sz w:val="20"/>
          <w:szCs w:val="20"/>
        </w:rPr>
        <w:t xml:space="preserve"> (</w:t>
      </w:r>
      <w:r w:rsidR="000D3986" w:rsidRPr="0013613A">
        <w:rPr>
          <w:rFonts w:ascii="Palatino Linotype" w:hAnsi="Palatino Linotype" w:cs="Times New Roman"/>
          <w:sz w:val="20"/>
          <w:szCs w:val="20"/>
        </w:rPr>
        <w:t>4</w:t>
      </w:r>
      <w:r w:rsidR="00436265" w:rsidRPr="0013613A">
        <w:rPr>
          <w:rFonts w:ascii="Palatino Linotype" w:hAnsi="Palatino Linotype" w:cs="Times New Roman"/>
          <w:sz w:val="20"/>
          <w:szCs w:val="20"/>
          <w:vertAlign w:val="superscript"/>
        </w:rPr>
        <w:t>th</w:t>
      </w:r>
      <w:r w:rsidR="000D3986" w:rsidRPr="0013613A">
        <w:rPr>
          <w:rFonts w:ascii="Palatino Linotype" w:hAnsi="Palatino Linotype" w:cs="Times New Roman"/>
          <w:sz w:val="20"/>
          <w:szCs w:val="20"/>
        </w:rPr>
        <w:t xml:space="preserve"> Cir., 20</w:t>
      </w:r>
      <w:r w:rsidRPr="0013613A">
        <w:rPr>
          <w:rFonts w:ascii="Palatino Linotype" w:hAnsi="Palatino Linotype" w:cs="Times New Roman"/>
          <w:sz w:val="20"/>
          <w:szCs w:val="20"/>
        </w:rPr>
        <w:t>20</w:t>
      </w:r>
      <w:r w:rsidR="000E2F1A" w:rsidRPr="0013613A">
        <w:rPr>
          <w:rFonts w:ascii="Palatino Linotype" w:hAnsi="Palatino Linotype" w:cs="Times New Roman"/>
          <w:sz w:val="20"/>
          <w:szCs w:val="20"/>
        </w:rPr>
        <w:t>)</w:t>
      </w:r>
    </w:p>
    <w:p w14:paraId="301125D3" w14:textId="77777777" w:rsidR="000E2F1A" w:rsidRPr="0013613A" w:rsidRDefault="00E00265">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13613A" w:rsidRDefault="000E2F1A">
      <w:pPr>
        <w:rPr>
          <w:rFonts w:ascii="Palatino Linotype" w:hAnsi="Palatino Linotype" w:cs="Times New Roman"/>
          <w:sz w:val="20"/>
          <w:szCs w:val="20"/>
        </w:rPr>
      </w:pPr>
    </w:p>
    <w:p w14:paraId="4AC3492A" w14:textId="0F20C1DD" w:rsidR="00882CB5" w:rsidRPr="0013613A" w:rsidRDefault="00E87BDF" w:rsidP="004F7FE7">
      <w:pPr>
        <w:ind w:firstLine="720"/>
        <w:jc w:val="both"/>
        <w:rPr>
          <w:rFonts w:ascii="Palatino Linotype" w:hAnsi="Palatino Linotype" w:cs="Times New Roman"/>
          <w:i/>
          <w:sz w:val="20"/>
          <w:szCs w:val="20"/>
        </w:rPr>
      </w:pPr>
      <w:r w:rsidRPr="0013613A">
        <w:rPr>
          <w:rFonts w:ascii="Palatino Linotype" w:hAnsi="Palatino Linotype" w:cs="Times New Roman"/>
          <w:i/>
          <w:sz w:val="20"/>
          <w:szCs w:val="20"/>
        </w:rPr>
        <w:t>In 1968, Congress passed the Anti-Riot Act. The act was passed in the wake of widespread urban riots in the summer of 1967 and a new wave of riots that followed the assassination of Martin Luther King, Jr. in April 1968.</w:t>
      </w:r>
      <w:r w:rsidR="005034B6" w:rsidRPr="0013613A">
        <w:rPr>
          <w:rFonts w:ascii="Palatino Linotype" w:hAnsi="Palatino Linotype" w:cs="Times New Roman"/>
          <w:i/>
          <w:sz w:val="20"/>
          <w:szCs w:val="20"/>
        </w:rPr>
        <w:t xml:space="preserve"> The act made it a federal crime to engage in interstate or foreign travel with the intent to incite a riot or participate in a riot. A riot was defined in part as an assemblage of three or more persons in which there are acts of violence that create a danger of damage or injury to property or persons. The</w:t>
      </w:r>
      <w:r w:rsidR="004E35C6" w:rsidRPr="0013613A">
        <w:rPr>
          <w:rFonts w:ascii="Palatino Linotype" w:hAnsi="Palatino Linotype" w:cs="Times New Roman"/>
          <w:i/>
          <w:sz w:val="20"/>
          <w:szCs w:val="20"/>
        </w:rPr>
        <w:t xml:space="preserve"> legislation specified that inciting a riot did not include the mere advocacy of ideas, including the advocacy of violence.</w:t>
      </w:r>
    </w:p>
    <w:p w14:paraId="76B9F9FF" w14:textId="1523CE01" w:rsidR="004E35C6" w:rsidRPr="0013613A" w:rsidRDefault="004E35C6" w:rsidP="004F7FE7">
      <w:pPr>
        <w:ind w:firstLine="720"/>
        <w:jc w:val="both"/>
        <w:rPr>
          <w:rFonts w:ascii="Palatino Linotype" w:hAnsi="Palatino Linotype" w:cs="Times New Roman"/>
          <w:i/>
          <w:sz w:val="20"/>
          <w:szCs w:val="20"/>
        </w:rPr>
      </w:pPr>
      <w:r w:rsidRPr="0013613A">
        <w:rPr>
          <w:rFonts w:ascii="Palatino Linotype" w:hAnsi="Palatino Linotype" w:cs="Times New Roman"/>
          <w:i/>
          <w:sz w:val="20"/>
          <w:szCs w:val="20"/>
        </w:rPr>
        <w:t xml:space="preserve">In 2017, Michael Paul </w:t>
      </w:r>
      <w:proofErr w:type="spellStart"/>
      <w:r w:rsidRPr="0013613A">
        <w:rPr>
          <w:rFonts w:ascii="Palatino Linotype" w:hAnsi="Palatino Linotype" w:cs="Times New Roman"/>
          <w:i/>
          <w:sz w:val="20"/>
          <w:szCs w:val="20"/>
        </w:rPr>
        <w:t>Miselis</w:t>
      </w:r>
      <w:proofErr w:type="spellEnd"/>
      <w:r w:rsidRPr="0013613A">
        <w:rPr>
          <w:rFonts w:ascii="Palatino Linotype" w:hAnsi="Palatino Linotype" w:cs="Times New Roman"/>
          <w:i/>
          <w:sz w:val="20"/>
          <w:szCs w:val="20"/>
        </w:rPr>
        <w:t xml:space="preserve"> was living in Southern California and joined a local, militant white supremacist group called the “Rise Above Movement” (RAM). RAM was organized in order to engage in violent attacks on counter-protesters at white supremacist rallies, and the group engaged in organized training in hand-to-hand combat in preparation for such encounters. The group participated in violent skirmishes in Huntington Beach and Berkeley, both in California, in the spring of 2017. </w:t>
      </w:r>
      <w:r w:rsidR="007A76D7" w:rsidRPr="0013613A">
        <w:rPr>
          <w:rFonts w:ascii="Palatino Linotype" w:hAnsi="Palatino Linotype" w:cs="Times New Roman"/>
          <w:i/>
          <w:sz w:val="20"/>
          <w:szCs w:val="20"/>
        </w:rPr>
        <w:t>In August of 2017, members of the group traveled to Charlottesville, Virginia to participate in the “Unite the Right” rally, which likewise degenerated into violence.</w:t>
      </w:r>
    </w:p>
    <w:p w14:paraId="19A2BD07" w14:textId="20BFF70E" w:rsidR="007A76D7" w:rsidRPr="0013613A" w:rsidRDefault="007A76D7" w:rsidP="004F7FE7">
      <w:pPr>
        <w:ind w:firstLine="720"/>
        <w:jc w:val="both"/>
        <w:rPr>
          <w:rFonts w:ascii="Palatino Linotype" w:hAnsi="Palatino Linotype" w:cs="Times New Roman"/>
          <w:i/>
          <w:sz w:val="20"/>
          <w:szCs w:val="20"/>
        </w:rPr>
      </w:pPr>
      <w:r w:rsidRPr="0013613A">
        <w:rPr>
          <w:rFonts w:ascii="Palatino Linotype" w:hAnsi="Palatino Linotype" w:cs="Times New Roman"/>
          <w:i/>
          <w:sz w:val="20"/>
          <w:szCs w:val="20"/>
        </w:rPr>
        <w:t xml:space="preserve">Along with co-defendants, </w:t>
      </w:r>
      <w:proofErr w:type="spellStart"/>
      <w:r w:rsidRPr="0013613A">
        <w:rPr>
          <w:rFonts w:ascii="Palatino Linotype" w:hAnsi="Palatino Linotype" w:cs="Times New Roman"/>
          <w:i/>
          <w:sz w:val="20"/>
          <w:szCs w:val="20"/>
        </w:rPr>
        <w:t>Miselis</w:t>
      </w:r>
      <w:proofErr w:type="spellEnd"/>
      <w:r w:rsidRPr="0013613A">
        <w:rPr>
          <w:rFonts w:ascii="Palatino Linotype" w:hAnsi="Palatino Linotype" w:cs="Times New Roman"/>
          <w:i/>
          <w:sz w:val="20"/>
          <w:szCs w:val="20"/>
        </w:rPr>
        <w:t xml:space="preserve"> was charged with federal crimes under the Anti-Riot Act. He moved to have the charges dismissed on constitutional grounds, but the motion was denied. He entered a conditional guilty plea contingent on an appeal of the constitutional issues. He received a two-year prison sentence from the trial court. On appeal, the federal circuit court affirmed the trial court’s ruling. The circuit court concluded that the Anti-Riot Act was overbroad and did include some acts that were constitutionally protected, but </w:t>
      </w:r>
      <w:r w:rsidR="00B35D01" w:rsidRPr="0013613A">
        <w:rPr>
          <w:rFonts w:ascii="Palatino Linotype" w:hAnsi="Palatino Linotype" w:cs="Times New Roman"/>
          <w:i/>
          <w:sz w:val="20"/>
          <w:szCs w:val="20"/>
        </w:rPr>
        <w:t xml:space="preserve">that the overbroad components of the statute were severable and the constitutionally valid components could still be applied to </w:t>
      </w:r>
      <w:proofErr w:type="spellStart"/>
      <w:r w:rsidR="00B35D01" w:rsidRPr="0013613A">
        <w:rPr>
          <w:rFonts w:ascii="Palatino Linotype" w:hAnsi="Palatino Linotype" w:cs="Times New Roman"/>
          <w:i/>
          <w:sz w:val="20"/>
          <w:szCs w:val="20"/>
        </w:rPr>
        <w:t>Miselis’s</w:t>
      </w:r>
      <w:proofErr w:type="spellEnd"/>
      <w:r w:rsidR="00B35D01" w:rsidRPr="0013613A">
        <w:rPr>
          <w:rFonts w:ascii="Palatino Linotype" w:hAnsi="Palatino Linotype" w:cs="Times New Roman"/>
          <w:i/>
          <w:sz w:val="20"/>
          <w:szCs w:val="20"/>
        </w:rPr>
        <w:t xml:space="preserve"> actions.</w:t>
      </w:r>
    </w:p>
    <w:p w14:paraId="04EBCA6B" w14:textId="77777777" w:rsidR="000E2F1A" w:rsidRPr="0013613A" w:rsidRDefault="000E2F1A" w:rsidP="004F7FE7">
      <w:pPr>
        <w:jc w:val="both"/>
        <w:rPr>
          <w:rFonts w:ascii="Palatino Linotype" w:hAnsi="Palatino Linotype" w:cs="Times New Roman"/>
          <w:sz w:val="20"/>
          <w:szCs w:val="20"/>
        </w:rPr>
      </w:pPr>
    </w:p>
    <w:p w14:paraId="681307B9" w14:textId="15B34324" w:rsidR="00A62C6F" w:rsidRPr="0013613A" w:rsidRDefault="00436265" w:rsidP="00200749">
      <w:pPr>
        <w:jc w:val="both"/>
        <w:rPr>
          <w:rFonts w:ascii="Palatino Linotype" w:hAnsi="Palatino Linotype" w:cs="Times New Roman"/>
          <w:sz w:val="20"/>
          <w:szCs w:val="20"/>
        </w:rPr>
      </w:pPr>
      <w:r w:rsidRPr="0013613A">
        <w:rPr>
          <w:rFonts w:ascii="Palatino Linotype" w:hAnsi="Palatino Linotype" w:cs="Times New Roman"/>
          <w:sz w:val="20"/>
          <w:szCs w:val="20"/>
        </w:rPr>
        <w:t>JUDGE</w:t>
      </w:r>
      <w:r w:rsidR="00F10497" w:rsidRPr="0013613A">
        <w:rPr>
          <w:rFonts w:ascii="Palatino Linotype" w:hAnsi="Palatino Linotype" w:cs="Times New Roman"/>
          <w:sz w:val="20"/>
          <w:szCs w:val="20"/>
        </w:rPr>
        <w:t xml:space="preserve"> </w:t>
      </w:r>
      <w:r w:rsidR="00E87BDF" w:rsidRPr="0013613A">
        <w:rPr>
          <w:rFonts w:ascii="Palatino Linotype" w:hAnsi="Palatino Linotype" w:cs="Times New Roman"/>
          <w:sz w:val="20"/>
          <w:szCs w:val="20"/>
        </w:rPr>
        <w:t>DIAZ</w:t>
      </w:r>
      <w:r w:rsidR="00A62C6F" w:rsidRPr="0013613A">
        <w:rPr>
          <w:rFonts w:ascii="Palatino Linotype" w:hAnsi="Palatino Linotype" w:cs="Times New Roman"/>
          <w:sz w:val="20"/>
          <w:szCs w:val="20"/>
        </w:rPr>
        <w:t>.</w:t>
      </w:r>
    </w:p>
    <w:p w14:paraId="3620AC36" w14:textId="1CD320DA" w:rsidR="00E1544F" w:rsidRPr="0013613A" w:rsidRDefault="000E2F1A" w:rsidP="00F306DB">
      <w:pPr>
        <w:ind w:firstLine="720"/>
        <w:jc w:val="both"/>
        <w:rPr>
          <w:rFonts w:ascii="Palatino Linotype" w:hAnsi="Palatino Linotype" w:cs="Times New Roman"/>
          <w:sz w:val="20"/>
          <w:szCs w:val="20"/>
        </w:rPr>
      </w:pPr>
      <w:r w:rsidRPr="0013613A">
        <w:rPr>
          <w:rFonts w:ascii="Palatino Linotype" w:hAnsi="Palatino Linotype" w:cs="Times New Roman"/>
          <w:sz w:val="20"/>
          <w:szCs w:val="20"/>
        </w:rPr>
        <w:t>. . . .</w:t>
      </w:r>
    </w:p>
    <w:p w14:paraId="6A9FFD19" w14:textId="2DB33C1E" w:rsidR="00E87BDF" w:rsidRPr="0013613A" w:rsidRDefault="00B35D01" w:rsidP="00F306DB">
      <w:pPr>
        <w:ind w:firstLine="720"/>
        <w:jc w:val="both"/>
        <w:rPr>
          <w:rFonts w:ascii="Palatino Linotype" w:hAnsi="Palatino Linotype"/>
          <w:sz w:val="20"/>
          <w:szCs w:val="20"/>
        </w:rPr>
      </w:pPr>
      <w:r w:rsidRPr="0013613A">
        <w:rPr>
          <w:rFonts w:ascii="Palatino Linotype" w:hAnsi="Palatino Linotype"/>
          <w:sz w:val="20"/>
          <w:szCs w:val="20"/>
        </w:rPr>
        <w:t>We begin by setting out the principles that guide our overbreadth analysis. Here, the defendants bring a facial challenge to the Anti-Riot Act, meaning they claim that the statute is unconstitutional not as it applies to their own conduct, but rather “on its face,” as it applies to the population generally. . . .</w:t>
      </w:r>
    </w:p>
    <w:p w14:paraId="501603EB" w14:textId="336C4EC8" w:rsidR="00B35D01" w:rsidRPr="0013613A" w:rsidRDefault="00B35D01" w:rsidP="00F306DB">
      <w:pPr>
        <w:ind w:firstLine="720"/>
        <w:jc w:val="both"/>
        <w:rPr>
          <w:rFonts w:ascii="Palatino Linotype" w:hAnsi="Palatino Linotype"/>
          <w:sz w:val="20"/>
          <w:szCs w:val="20"/>
        </w:rPr>
      </w:pPr>
      <w:r w:rsidRPr="0013613A">
        <w:rPr>
          <w:rFonts w:ascii="Palatino Linotype" w:hAnsi="Palatino Linotype"/>
          <w:sz w:val="20"/>
          <w:szCs w:val="20"/>
        </w:rPr>
        <w:t>[A] facial challenge typically requires a showing that “no set of circumstances exists under which the Act would be valid, i.e., that the law is unconstitutional in all of its applications.” . . .</w:t>
      </w:r>
    </w:p>
    <w:p w14:paraId="5D17181E" w14:textId="2360B608" w:rsidR="00B35D01" w:rsidRPr="0013613A" w:rsidRDefault="00B35D01" w:rsidP="00F306DB">
      <w:pPr>
        <w:ind w:firstLine="720"/>
        <w:jc w:val="both"/>
        <w:rPr>
          <w:rFonts w:ascii="Palatino Linotype" w:hAnsi="Palatino Linotype"/>
          <w:sz w:val="20"/>
          <w:szCs w:val="20"/>
        </w:rPr>
      </w:pPr>
      <w:r w:rsidRPr="0013613A">
        <w:rPr>
          <w:rFonts w:ascii="Palatino Linotype" w:hAnsi="Palatino Linotype"/>
          <w:sz w:val="20"/>
          <w:szCs w:val="20"/>
        </w:rPr>
        <w:t xml:space="preserve">In the First Amendment context, however, the fear of chilling protected expression “has led courts to entertain facial challenges based merely on hypothetical applications of the law to nonparties.” Under this “second type” of facial challenge, a statute “may be invalidated as overbroad” as long as “a substantial number of its applications are unconstitutional, judged in relation to the statute’s plainly legitimate sweep.” </w:t>
      </w:r>
      <w:r w:rsidRPr="0013613A">
        <w:rPr>
          <w:rFonts w:ascii="Palatino Linotype" w:hAnsi="Palatino Linotype"/>
          <w:i/>
          <w:iCs/>
          <w:sz w:val="20"/>
          <w:szCs w:val="20"/>
        </w:rPr>
        <w:t>United States v. Stevens</w:t>
      </w:r>
      <w:r w:rsidRPr="0013613A">
        <w:rPr>
          <w:rFonts w:ascii="Palatino Linotype" w:hAnsi="Palatino Linotype"/>
          <w:sz w:val="20"/>
          <w:szCs w:val="20"/>
        </w:rPr>
        <w:t xml:space="preserve"> (2010).</w:t>
      </w:r>
    </w:p>
    <w:p w14:paraId="50342114" w14:textId="13AA4299" w:rsidR="005C0822" w:rsidRPr="0013613A" w:rsidRDefault="005B3A91" w:rsidP="00F306DB">
      <w:pPr>
        <w:ind w:firstLine="720"/>
        <w:jc w:val="both"/>
        <w:rPr>
          <w:rFonts w:ascii="Palatino Linotype" w:hAnsi="Palatino Linotype"/>
          <w:sz w:val="20"/>
          <w:szCs w:val="20"/>
        </w:rPr>
      </w:pPr>
      <w:r w:rsidRPr="0013613A">
        <w:rPr>
          <w:rFonts w:ascii="Palatino Linotype" w:hAnsi="Palatino Linotype"/>
          <w:sz w:val="20"/>
          <w:szCs w:val="20"/>
        </w:rPr>
        <w:t xml:space="preserve">. . . . </w:t>
      </w:r>
    </w:p>
    <w:p w14:paraId="05C9AB05" w14:textId="4F6D142E" w:rsidR="00C03175" w:rsidRPr="0013613A" w:rsidRDefault="00C03175" w:rsidP="00F306DB">
      <w:pPr>
        <w:ind w:firstLine="720"/>
        <w:jc w:val="both"/>
        <w:rPr>
          <w:rFonts w:ascii="Palatino Linotype" w:hAnsi="Palatino Linotype"/>
          <w:sz w:val="20"/>
          <w:szCs w:val="20"/>
        </w:rPr>
      </w:pPr>
      <w:r w:rsidRPr="0013613A">
        <w:rPr>
          <w:rFonts w:ascii="Palatino Linotype" w:hAnsi="Palatino Linotype"/>
          <w:sz w:val="20"/>
          <w:szCs w:val="20"/>
        </w:rPr>
        <w:t xml:space="preserve">To maintain an “appropriate balance” between the “competing social costs” at issue in the overbreadth context, the Supreme Court has “vigorously enforced the requirement that a statute’s overbreadth be substantial, not only in an absolute sense, but also relative to the statute’s plainly legitimate sweep.” </w:t>
      </w:r>
      <w:r w:rsidRPr="0013613A">
        <w:rPr>
          <w:rFonts w:ascii="Palatino Linotype" w:hAnsi="Palatino Linotype"/>
          <w:i/>
          <w:iCs/>
          <w:sz w:val="20"/>
          <w:szCs w:val="20"/>
        </w:rPr>
        <w:t>United States v. Williams</w:t>
      </w:r>
      <w:r w:rsidRPr="0013613A">
        <w:rPr>
          <w:rFonts w:ascii="Palatino Linotype" w:hAnsi="Palatino Linotype"/>
          <w:sz w:val="20"/>
          <w:szCs w:val="20"/>
        </w:rPr>
        <w:t xml:space="preserve"> (2008). . . .</w:t>
      </w:r>
    </w:p>
    <w:p w14:paraId="26AC0C5E" w14:textId="57FA6C73" w:rsidR="00C03175" w:rsidRPr="0013613A" w:rsidRDefault="00454F3A" w:rsidP="00F306DB">
      <w:pPr>
        <w:ind w:firstLine="720"/>
        <w:jc w:val="both"/>
        <w:rPr>
          <w:rFonts w:ascii="Palatino Linotype" w:hAnsi="Palatino Linotype"/>
          <w:sz w:val="20"/>
          <w:szCs w:val="20"/>
        </w:rPr>
      </w:pPr>
      <w:r w:rsidRPr="0013613A">
        <w:rPr>
          <w:rFonts w:ascii="Palatino Linotype" w:hAnsi="Palatino Linotype"/>
          <w:sz w:val="20"/>
          <w:szCs w:val="20"/>
        </w:rPr>
        <w:lastRenderedPageBreak/>
        <w:t>. . . .</w:t>
      </w:r>
    </w:p>
    <w:p w14:paraId="3D1F5AD5" w14:textId="6D425176" w:rsidR="00454F3A" w:rsidRPr="0013613A" w:rsidRDefault="00AA7E4A" w:rsidP="00F306DB">
      <w:pPr>
        <w:ind w:firstLine="720"/>
        <w:jc w:val="both"/>
        <w:rPr>
          <w:rFonts w:ascii="Palatino Linotype" w:hAnsi="Palatino Linotype"/>
          <w:sz w:val="20"/>
          <w:szCs w:val="20"/>
        </w:rPr>
      </w:pPr>
      <w:r w:rsidRPr="0013613A">
        <w:rPr>
          <w:rFonts w:ascii="Palatino Linotype" w:hAnsi="Palatino Linotype"/>
          <w:sz w:val="20"/>
          <w:szCs w:val="20"/>
        </w:rPr>
        <w:t xml:space="preserve">A glance at the Anti-Riot Act reveals that the category of unprotected speech that lies at the core of the statute’s prohibition is that which also lies at the origin of First Amendment jurisprudence: “incitement.” In general legal parlance, “incitement” refers to “[t]he act of persuading” — that is, of inducing — “another person to commit a crime.” . . . </w:t>
      </w:r>
    </w:p>
    <w:p w14:paraId="243C0764" w14:textId="4A4FA75D" w:rsidR="00AA7E4A" w:rsidRPr="0013613A" w:rsidRDefault="00AA7E4A" w:rsidP="00F306DB">
      <w:pPr>
        <w:ind w:firstLine="720"/>
        <w:jc w:val="both"/>
        <w:rPr>
          <w:rFonts w:ascii="Palatino Linotype" w:hAnsi="Palatino Linotype"/>
          <w:sz w:val="20"/>
          <w:szCs w:val="20"/>
        </w:rPr>
      </w:pPr>
      <w:r w:rsidRPr="0013613A">
        <w:rPr>
          <w:rFonts w:ascii="Palatino Linotype" w:hAnsi="Palatino Linotype"/>
          <w:sz w:val="20"/>
          <w:szCs w:val="20"/>
        </w:rPr>
        <w:t xml:space="preserve">The modern incitement test derives from the Court’s per </w:t>
      </w:r>
      <w:proofErr w:type="spellStart"/>
      <w:r w:rsidRPr="0013613A">
        <w:rPr>
          <w:rFonts w:ascii="Palatino Linotype" w:hAnsi="Palatino Linotype"/>
          <w:sz w:val="20"/>
          <w:szCs w:val="20"/>
        </w:rPr>
        <w:t>curiam</w:t>
      </w:r>
      <w:proofErr w:type="spellEnd"/>
      <w:r w:rsidRPr="0013613A">
        <w:rPr>
          <w:rFonts w:ascii="Palatino Linotype" w:hAnsi="Palatino Linotype"/>
          <w:sz w:val="20"/>
          <w:szCs w:val="20"/>
        </w:rPr>
        <w:t xml:space="preserve"> decision in </w:t>
      </w:r>
      <w:r w:rsidRPr="0013613A">
        <w:rPr>
          <w:rFonts w:ascii="Palatino Linotype" w:hAnsi="Palatino Linotype"/>
          <w:i/>
          <w:iCs/>
          <w:sz w:val="20"/>
          <w:szCs w:val="20"/>
        </w:rPr>
        <w:t>Brandenburg v. Ohio</w:t>
      </w:r>
      <w:r w:rsidRPr="0013613A">
        <w:rPr>
          <w:rFonts w:ascii="Palatino Linotype" w:hAnsi="Palatino Linotype"/>
          <w:sz w:val="20"/>
          <w:szCs w:val="20"/>
        </w:rPr>
        <w:t xml:space="preserve"> (1969)</w:t>
      </w:r>
      <w:r w:rsidR="00F83FF9" w:rsidRPr="0013613A">
        <w:rPr>
          <w:rFonts w:ascii="Palatino Linotype" w:hAnsi="Palatino Linotype"/>
          <w:sz w:val="20"/>
          <w:szCs w:val="20"/>
        </w:rPr>
        <w:t xml:space="preserve">, which came down in 1969, the year </w:t>
      </w:r>
      <w:r w:rsidR="00F83FF9" w:rsidRPr="0013613A">
        <w:rPr>
          <w:rFonts w:ascii="Palatino Linotype" w:hAnsi="Palatino Linotype"/>
          <w:i/>
          <w:iCs/>
          <w:sz w:val="20"/>
          <w:szCs w:val="20"/>
        </w:rPr>
        <w:t>after</w:t>
      </w:r>
      <w:r w:rsidR="00F83FF9" w:rsidRPr="0013613A">
        <w:rPr>
          <w:rFonts w:ascii="Palatino Linotype" w:hAnsi="Palatino Linotype"/>
          <w:sz w:val="20"/>
          <w:szCs w:val="20"/>
        </w:rPr>
        <w:t xml:space="preserve"> the Anti-Riot Act was enacted. . . .</w:t>
      </w:r>
    </w:p>
    <w:p w14:paraId="6CD46749" w14:textId="33677392" w:rsidR="00F83FF9" w:rsidRPr="0013613A" w:rsidRDefault="00D43880"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22C980C2" w14:textId="3EDB7441" w:rsidR="00D43880" w:rsidRPr="0013613A" w:rsidRDefault="00D43880" w:rsidP="00F306DB">
      <w:pPr>
        <w:ind w:firstLine="720"/>
        <w:jc w:val="both"/>
        <w:rPr>
          <w:rFonts w:ascii="Palatino Linotype" w:hAnsi="Palatino Linotype"/>
          <w:sz w:val="20"/>
          <w:szCs w:val="20"/>
        </w:rPr>
      </w:pPr>
      <w:r w:rsidRPr="0013613A">
        <w:rPr>
          <w:rFonts w:ascii="Palatino Linotype" w:hAnsi="Palatino Linotype"/>
          <w:i/>
          <w:iCs/>
          <w:sz w:val="20"/>
          <w:szCs w:val="20"/>
        </w:rPr>
        <w:t>Brandenburg</w:t>
      </w:r>
      <w:r w:rsidRPr="0013613A">
        <w:rPr>
          <w:rFonts w:ascii="Palatino Linotype" w:hAnsi="Palatino Linotype"/>
          <w:sz w:val="20"/>
          <w:szCs w:val="20"/>
        </w:rPr>
        <w:t xml:space="preserve"> has . . . been widely understood, starting with the two concurring Justices, as having significantly (if tacitly) narrowed the category of incitement. . . . These days, then, advocacy of lawlessness retains the guarantees of free speech unless it’s directed and likely to produce imminent lawlessness.</w:t>
      </w:r>
    </w:p>
    <w:p w14:paraId="0407B8AF" w14:textId="023C4953" w:rsidR="00D43880" w:rsidRPr="0013613A" w:rsidRDefault="008076CA" w:rsidP="00F306DB">
      <w:pPr>
        <w:ind w:firstLine="720"/>
        <w:jc w:val="both"/>
        <w:rPr>
          <w:rFonts w:ascii="Palatino Linotype" w:hAnsi="Palatino Linotype"/>
          <w:sz w:val="20"/>
          <w:szCs w:val="20"/>
        </w:rPr>
      </w:pPr>
      <w:r w:rsidRPr="0013613A">
        <w:rPr>
          <w:rFonts w:ascii="Palatino Linotype" w:hAnsi="Palatino Linotype"/>
          <w:sz w:val="20"/>
          <w:szCs w:val="20"/>
        </w:rPr>
        <w:t xml:space="preserve">As a corollary, we’ve understood </w:t>
      </w:r>
      <w:r w:rsidRPr="0013613A">
        <w:rPr>
          <w:rFonts w:ascii="Palatino Linotype" w:hAnsi="Palatino Linotype"/>
          <w:i/>
          <w:iCs/>
          <w:sz w:val="20"/>
          <w:szCs w:val="20"/>
        </w:rPr>
        <w:t>Brandenburg</w:t>
      </w:r>
      <w:r w:rsidRPr="0013613A">
        <w:rPr>
          <w:rFonts w:ascii="Palatino Linotype" w:hAnsi="Palatino Linotype"/>
          <w:sz w:val="20"/>
          <w:szCs w:val="20"/>
        </w:rPr>
        <w:t xml:space="preserve">’s protection to be limited to mere or “abstract” advocacy. </w:t>
      </w:r>
      <w:r w:rsidRPr="0013613A">
        <w:rPr>
          <w:rFonts w:ascii="Palatino Linotype" w:hAnsi="Palatino Linotype"/>
          <w:i/>
          <w:iCs/>
          <w:sz w:val="20"/>
          <w:szCs w:val="20"/>
        </w:rPr>
        <w:t>Rice v. Paladin Enterprise, Inc</w:t>
      </w:r>
      <w:r w:rsidRPr="0013613A">
        <w:rPr>
          <w:rFonts w:ascii="Palatino Linotype" w:hAnsi="Palatino Linotype"/>
          <w:sz w:val="20"/>
          <w:szCs w:val="20"/>
        </w:rPr>
        <w:t>. (4</w:t>
      </w:r>
      <w:r w:rsidRPr="0013613A">
        <w:rPr>
          <w:rFonts w:ascii="Palatino Linotype" w:hAnsi="Palatino Linotype"/>
          <w:sz w:val="20"/>
          <w:szCs w:val="20"/>
          <w:vertAlign w:val="superscript"/>
        </w:rPr>
        <w:t>th</w:t>
      </w:r>
      <w:r w:rsidRPr="0013613A">
        <w:rPr>
          <w:rFonts w:ascii="Palatino Linotype" w:hAnsi="Palatino Linotype"/>
          <w:sz w:val="20"/>
          <w:szCs w:val="20"/>
        </w:rPr>
        <w:t xml:space="preserve"> Cir. 1997). . . . Speech taking some form “other than abstract advocacy,” by contrast, such as that which “constitutes . . . aiding and abetting of criminal conduct,” doesn’t implicate the First Amendment under our </w:t>
      </w:r>
      <w:r w:rsidRPr="0013613A">
        <w:rPr>
          <w:rFonts w:ascii="Palatino Linotype" w:hAnsi="Palatino Linotype"/>
          <w:i/>
          <w:iCs/>
          <w:sz w:val="20"/>
          <w:szCs w:val="20"/>
        </w:rPr>
        <w:t>Rice</w:t>
      </w:r>
      <w:r w:rsidRPr="0013613A">
        <w:rPr>
          <w:rFonts w:ascii="Palatino Linotype" w:hAnsi="Palatino Linotype"/>
          <w:sz w:val="20"/>
          <w:szCs w:val="20"/>
        </w:rPr>
        <w:t xml:space="preserve"> decision. . . . In other words, </w:t>
      </w:r>
      <w:r w:rsidRPr="0013613A">
        <w:rPr>
          <w:rFonts w:ascii="Palatino Linotype" w:hAnsi="Palatino Linotype"/>
          <w:i/>
          <w:iCs/>
          <w:sz w:val="20"/>
          <w:szCs w:val="20"/>
        </w:rPr>
        <w:t>Rice</w:t>
      </w:r>
      <w:r w:rsidRPr="0013613A">
        <w:rPr>
          <w:rFonts w:ascii="Palatino Linotype" w:hAnsi="Palatino Linotype"/>
          <w:sz w:val="20"/>
          <w:szCs w:val="20"/>
        </w:rPr>
        <w:t xml:space="preserve"> effectively recognizes a second category of unprotected speech inherent in that of incitement, which may be proscribed without regard to whether it’s directed and likely to produce imminent lawlessness.</w:t>
      </w:r>
    </w:p>
    <w:p w14:paraId="5DD5A99A" w14:textId="13F160E3" w:rsidR="008076CA" w:rsidRPr="0013613A" w:rsidRDefault="008076CA" w:rsidP="00F306DB">
      <w:pPr>
        <w:ind w:firstLine="720"/>
        <w:jc w:val="both"/>
        <w:rPr>
          <w:rFonts w:ascii="Palatino Linotype" w:hAnsi="Palatino Linotype"/>
          <w:sz w:val="20"/>
          <w:szCs w:val="20"/>
        </w:rPr>
      </w:pPr>
      <w:r w:rsidRPr="0013613A">
        <w:rPr>
          <w:rFonts w:ascii="Palatino Linotype" w:hAnsi="Palatino Linotype"/>
          <w:sz w:val="20"/>
          <w:szCs w:val="20"/>
        </w:rPr>
        <w:t xml:space="preserve">With this delineation in mind, we consider whether the Anti-Riot Act encompasses the sort of advocacy that </w:t>
      </w:r>
      <w:r w:rsidRPr="0013613A">
        <w:rPr>
          <w:rFonts w:ascii="Palatino Linotype" w:hAnsi="Palatino Linotype"/>
          <w:i/>
          <w:iCs/>
          <w:sz w:val="20"/>
          <w:szCs w:val="20"/>
        </w:rPr>
        <w:t>Brandenburg</w:t>
      </w:r>
      <w:r w:rsidRPr="0013613A">
        <w:rPr>
          <w:rFonts w:ascii="Palatino Linotype" w:hAnsi="Palatino Linotype"/>
          <w:sz w:val="20"/>
          <w:szCs w:val="20"/>
        </w:rPr>
        <w:t xml:space="preserve"> “jealously protects.”</w:t>
      </w:r>
    </w:p>
    <w:p w14:paraId="2E1EACB2" w14:textId="6E9F3B89" w:rsidR="008076CA" w:rsidRPr="0013613A" w:rsidRDefault="00CC74D3"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6DBBDDDE" w14:textId="70C81D99" w:rsidR="00CC74D3" w:rsidRPr="0013613A" w:rsidRDefault="00191943" w:rsidP="00F306DB">
      <w:pPr>
        <w:ind w:firstLine="720"/>
        <w:jc w:val="both"/>
        <w:rPr>
          <w:rFonts w:ascii="Palatino Linotype" w:hAnsi="Palatino Linotype"/>
          <w:sz w:val="20"/>
          <w:szCs w:val="20"/>
        </w:rPr>
      </w:pPr>
      <w:r w:rsidRPr="0013613A">
        <w:rPr>
          <w:rFonts w:ascii="Palatino Linotype" w:hAnsi="Palatino Linotype"/>
          <w:sz w:val="20"/>
          <w:szCs w:val="20"/>
        </w:rPr>
        <w:t xml:space="preserve">. . . . In our view, the presence of an overt-act element (or two, in fact), together with specific intent to incite or engage in a riot, simply indicates that the Anti-Riot Act was drafted as an attempt offense, of which it bears all the classic hallmarks, rather than a commission offense. </w:t>
      </w:r>
      <w:r w:rsidRPr="0013613A">
        <w:rPr>
          <w:rFonts w:ascii="Palatino Linotype" w:hAnsi="Palatino Linotype"/>
          <w:i/>
          <w:iCs/>
          <w:sz w:val="20"/>
          <w:szCs w:val="20"/>
        </w:rPr>
        <w:t>Martin v. Taylor</w:t>
      </w:r>
      <w:r w:rsidRPr="0013613A">
        <w:rPr>
          <w:rFonts w:ascii="Palatino Linotype" w:hAnsi="Palatino Linotype"/>
          <w:sz w:val="20"/>
          <w:szCs w:val="20"/>
        </w:rPr>
        <w:t xml:space="preserve"> (4</w:t>
      </w:r>
      <w:r w:rsidRPr="0013613A">
        <w:rPr>
          <w:rFonts w:ascii="Palatino Linotype" w:hAnsi="Palatino Linotype"/>
          <w:sz w:val="20"/>
          <w:szCs w:val="20"/>
          <w:vertAlign w:val="superscript"/>
        </w:rPr>
        <w:t>th</w:t>
      </w:r>
      <w:r w:rsidRPr="0013613A">
        <w:rPr>
          <w:rFonts w:ascii="Palatino Linotype" w:hAnsi="Palatino Linotype"/>
          <w:sz w:val="20"/>
          <w:szCs w:val="20"/>
        </w:rPr>
        <w:t xml:space="preserve"> Cir. 1988). . . . Indeed, as the indictment in this very case illustrates, the crime described by § 2101(a) is simply that of “Travel with Intent to Riot.”</w:t>
      </w:r>
    </w:p>
    <w:p w14:paraId="482463D4" w14:textId="3223FDF7" w:rsidR="00191943" w:rsidRPr="0013613A" w:rsidRDefault="00673E86" w:rsidP="00F306DB">
      <w:pPr>
        <w:ind w:firstLine="720"/>
        <w:jc w:val="both"/>
        <w:rPr>
          <w:rFonts w:ascii="Palatino Linotype" w:hAnsi="Palatino Linotype"/>
          <w:sz w:val="20"/>
          <w:szCs w:val="20"/>
        </w:rPr>
      </w:pPr>
      <w:r w:rsidRPr="0013613A">
        <w:rPr>
          <w:rFonts w:ascii="Palatino Linotype" w:hAnsi="Palatino Linotype"/>
          <w:sz w:val="20"/>
          <w:szCs w:val="20"/>
        </w:rPr>
        <w:t xml:space="preserve">The inescapable conclusion that Congress drafted the Anti-Riot Act to encompass unconsummated attempts to incite or engage in a riot explains why, as the defendants put it, the statute “does not criminalize rioting” alone, but also “behavior far-removed” from rioting. It also explains why the statute’s overt-act elements don’t implicate </w:t>
      </w:r>
      <w:r w:rsidRPr="0013613A">
        <w:rPr>
          <w:rFonts w:ascii="Palatino Linotype" w:hAnsi="Palatino Linotype"/>
          <w:i/>
          <w:iCs/>
          <w:sz w:val="20"/>
          <w:szCs w:val="20"/>
        </w:rPr>
        <w:t>Brandenburg</w:t>
      </w:r>
      <w:r w:rsidRPr="0013613A">
        <w:rPr>
          <w:rFonts w:ascii="Palatino Linotype" w:hAnsi="Palatino Linotype"/>
          <w:sz w:val="20"/>
          <w:szCs w:val="20"/>
        </w:rPr>
        <w:t>: because, as with inchoate offenses generally, the overt acts themselves — “which may be entirely innocent when considered alone,” — serve only to establish that a defendant specifically intended to carry out (and went far enough toward carrying out) an unlawful “purpose.”</w:t>
      </w:r>
    </w:p>
    <w:p w14:paraId="29D2BD81" w14:textId="45FE38B5" w:rsidR="00673E86" w:rsidRPr="0013613A" w:rsidRDefault="00673E86"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44D25471" w14:textId="408A2CDF" w:rsidR="00673E86" w:rsidRPr="0013613A" w:rsidRDefault="005762CD" w:rsidP="00F306DB">
      <w:pPr>
        <w:ind w:firstLine="720"/>
        <w:jc w:val="both"/>
        <w:rPr>
          <w:rFonts w:ascii="Palatino Linotype" w:hAnsi="Palatino Linotype"/>
          <w:sz w:val="20"/>
          <w:szCs w:val="20"/>
        </w:rPr>
      </w:pPr>
      <w:r w:rsidRPr="0013613A">
        <w:rPr>
          <w:rFonts w:ascii="Palatino Linotype" w:hAnsi="Palatino Linotype"/>
          <w:sz w:val="20"/>
          <w:szCs w:val="20"/>
        </w:rPr>
        <w:t xml:space="preserve">With respect to “incite” under § 2101(a)(1), we have little difficulty concluding that this verb encompasses no more than unprotected speech under </w:t>
      </w:r>
      <w:r w:rsidRPr="0013613A">
        <w:rPr>
          <w:rFonts w:ascii="Palatino Linotype" w:hAnsi="Palatino Linotype"/>
          <w:i/>
          <w:iCs/>
          <w:sz w:val="20"/>
          <w:szCs w:val="20"/>
        </w:rPr>
        <w:t>Brandenburg</w:t>
      </w:r>
      <w:r w:rsidRPr="0013613A">
        <w:rPr>
          <w:rFonts w:ascii="Palatino Linotype" w:hAnsi="Palatino Linotype"/>
          <w:sz w:val="20"/>
          <w:szCs w:val="20"/>
        </w:rPr>
        <w:t xml:space="preserve">. Thus, in the world of </w:t>
      </w:r>
      <w:r w:rsidRPr="0013613A">
        <w:rPr>
          <w:rFonts w:ascii="Palatino Linotype" w:hAnsi="Palatino Linotype"/>
          <w:i/>
          <w:iCs/>
          <w:sz w:val="20"/>
          <w:szCs w:val="20"/>
        </w:rPr>
        <w:t>Brandenburg</w:t>
      </w:r>
      <w:r w:rsidRPr="0013613A">
        <w:rPr>
          <w:rFonts w:ascii="Palatino Linotype" w:hAnsi="Palatino Linotype"/>
          <w:sz w:val="20"/>
          <w:szCs w:val="20"/>
        </w:rPr>
        <w:t>, “incite” most sensibly refers to speech that is directed and likely to produce an imminent lawlessness. . . .</w:t>
      </w:r>
    </w:p>
    <w:p w14:paraId="0FE8504A" w14:textId="3FCE229A" w:rsidR="005762CD" w:rsidRPr="0013613A" w:rsidRDefault="005762CD" w:rsidP="00F306DB">
      <w:pPr>
        <w:ind w:firstLine="720"/>
        <w:jc w:val="both"/>
        <w:rPr>
          <w:rFonts w:ascii="Palatino Linotype" w:hAnsi="Palatino Linotype"/>
          <w:sz w:val="20"/>
          <w:szCs w:val="20"/>
        </w:rPr>
      </w:pPr>
      <w:r w:rsidRPr="0013613A">
        <w:rPr>
          <w:rFonts w:ascii="Palatino Linotype" w:hAnsi="Palatino Linotype"/>
          <w:sz w:val="20"/>
          <w:szCs w:val="20"/>
        </w:rPr>
        <w:t xml:space="preserve">Turning to § 2101(a)(2), however, we find that two verbs in the string “to organize, promote, [or] encourage” a riot fail to bear the requisite relation between speech and lawlessness. The loosest such relation in the bunch belongs to “encourage,” which means simply “to attempt to persuade (someone) to do something.” Speech tending to encourage a riot thus encompasses all hypothetical efforts to advocate for a riot, including the vast majority that aren’t likely to produce an imminent riot (even assuming they’re directed to producing a riot). Indeed, because mere encouragement is quintessential protected advocacy, the Supreme Court has recognized that “[t]he mere tendency of speech to encourage unlawful acts is not a sufficient reason for banning it” under </w:t>
      </w:r>
      <w:r w:rsidRPr="0013613A">
        <w:rPr>
          <w:rFonts w:ascii="Palatino Linotype" w:hAnsi="Palatino Linotype"/>
          <w:i/>
          <w:iCs/>
          <w:sz w:val="20"/>
          <w:szCs w:val="20"/>
        </w:rPr>
        <w:t>Brandenburg</w:t>
      </w:r>
      <w:r w:rsidRPr="0013613A">
        <w:rPr>
          <w:rFonts w:ascii="Palatino Linotype" w:hAnsi="Palatino Linotype"/>
          <w:sz w:val="20"/>
          <w:szCs w:val="20"/>
        </w:rPr>
        <w:t xml:space="preserve">. </w:t>
      </w:r>
      <w:r w:rsidRPr="0013613A">
        <w:rPr>
          <w:rFonts w:ascii="Palatino Linotype" w:hAnsi="Palatino Linotype"/>
          <w:i/>
          <w:iCs/>
          <w:sz w:val="20"/>
          <w:szCs w:val="20"/>
        </w:rPr>
        <w:t>Ashcroft v. Free Speech Coalition</w:t>
      </w:r>
      <w:r w:rsidRPr="0013613A">
        <w:rPr>
          <w:rFonts w:ascii="Palatino Linotype" w:hAnsi="Palatino Linotype"/>
          <w:sz w:val="20"/>
          <w:szCs w:val="20"/>
        </w:rPr>
        <w:t xml:space="preserve"> (2002). It follows that </w:t>
      </w:r>
      <w:r w:rsidRPr="0013613A">
        <w:rPr>
          <w:rFonts w:ascii="Palatino Linotype" w:hAnsi="Palatino Linotype"/>
          <w:i/>
          <w:iCs/>
          <w:sz w:val="20"/>
          <w:szCs w:val="20"/>
        </w:rPr>
        <w:t>Brandenburg</w:t>
      </w:r>
      <w:r w:rsidRPr="0013613A">
        <w:rPr>
          <w:rFonts w:ascii="Palatino Linotype" w:hAnsi="Palatino Linotype"/>
          <w:sz w:val="20"/>
          <w:szCs w:val="20"/>
        </w:rPr>
        <w:t xml:space="preserve"> protects speech having a mere tendency to encourage others to riot.</w:t>
      </w:r>
    </w:p>
    <w:p w14:paraId="62124C6E" w14:textId="338BE42C" w:rsidR="005762CD" w:rsidRPr="0013613A" w:rsidRDefault="00E37BB0" w:rsidP="00F306DB">
      <w:pPr>
        <w:ind w:firstLine="720"/>
        <w:jc w:val="both"/>
        <w:rPr>
          <w:rFonts w:ascii="Palatino Linotype" w:hAnsi="Palatino Linotype"/>
          <w:sz w:val="20"/>
          <w:szCs w:val="20"/>
        </w:rPr>
      </w:pPr>
      <w:r w:rsidRPr="0013613A">
        <w:rPr>
          <w:rFonts w:ascii="Palatino Linotype" w:hAnsi="Palatino Linotype"/>
          <w:sz w:val="20"/>
          <w:szCs w:val="20"/>
        </w:rPr>
        <w:t xml:space="preserve">The verb “promote” occupies a similarly overinclusive position on the continuum of relation between advocacy and action. While “promote” admits of a wide range of meanings depending on context, we think that, in the context of an enterprise like a riot, it’s best understood to mean “to support or </w:t>
      </w:r>
      <w:r w:rsidRPr="0013613A">
        <w:rPr>
          <w:rFonts w:ascii="Palatino Linotype" w:hAnsi="Palatino Linotype"/>
          <w:sz w:val="20"/>
          <w:szCs w:val="20"/>
        </w:rPr>
        <w:lastRenderedPageBreak/>
        <w:t xml:space="preserve">encourage something,” or “to advance” or “further something by helping to . . . introduce it. . . . It thus suffers from the same overbreadth, subsuming an abundance of hypothetical efforts to persuade that aren’t likely to produce an imminent riot. As a result, </w:t>
      </w:r>
      <w:r w:rsidRPr="0013613A">
        <w:rPr>
          <w:rFonts w:ascii="Palatino Linotype" w:hAnsi="Palatino Linotype"/>
          <w:i/>
          <w:iCs/>
          <w:sz w:val="20"/>
          <w:szCs w:val="20"/>
        </w:rPr>
        <w:t>Brandenburg</w:t>
      </w:r>
      <w:r w:rsidRPr="0013613A">
        <w:rPr>
          <w:rFonts w:ascii="Palatino Linotype" w:hAnsi="Palatino Linotype"/>
          <w:sz w:val="20"/>
          <w:szCs w:val="20"/>
        </w:rPr>
        <w:t xml:space="preserve"> also protects speech having a mere tendency to promote others to riot.</w:t>
      </w:r>
    </w:p>
    <w:p w14:paraId="18BD44C7" w14:textId="31907528" w:rsidR="00E37BB0" w:rsidRPr="0013613A" w:rsidRDefault="00E37BB0"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0DEB5D6B" w14:textId="33392BCC" w:rsidR="00E37BB0"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With respect to the verb “organize,” however, we reach a different outcome. As it pertains to an event like a riot, “organize” is readily understood to mean “to form or establish something . . . by . . . bringing people together into a structured group,” “to oversee the coordination of the various aspects of something” or “to arrange the components of something in a way that creates a particular structure.” We think speech tending to organize a riot might thus include communicating with prospective participants about logistics, arranging travel accommodations, or overseeing efforts to obtain weapons needed to carry out the planned violence.</w:t>
      </w:r>
    </w:p>
    <w:p w14:paraId="3351F598" w14:textId="6CC27A0C"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Yet as these definitions and examples indicate, speech tending to “organize” others to riot consists not of mere abstract advocacy, but rather of concrete aid. For, by the time speech reaches the point of organizing a riot, it has crossed the line dividing abstract idea from material reality, even if its components must still be brought together, coordinated, arranged, or otherwise structured into form.</w:t>
      </w:r>
    </w:p>
    <w:p w14:paraId="7BD119B0" w14:textId="30063E21"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7A8A4E9A" w14:textId="6072E440"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With respect to speech “instigating” others to riot, we agree with the parties this verb is best understood as a direct synonym for the dictionary definition of “incite.” . . .</w:t>
      </w:r>
    </w:p>
    <w:p w14:paraId="32AB4C22" w14:textId="668312F0"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As to speech “urging” others to riot, however, we agree with the defendants that this verb suffers from a similarly inadequate relation between speech and lawless action as “encourage” and “promote” under § 2101(a)(2). . . .</w:t>
      </w:r>
    </w:p>
    <w:p w14:paraId="4D7A739A" w14:textId="62A79C6B"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5328AB2F" w14:textId="6AF0642F"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[B]</w:t>
      </w:r>
      <w:proofErr w:type="spellStart"/>
      <w:r w:rsidRPr="0013613A">
        <w:rPr>
          <w:rFonts w:ascii="Palatino Linotype" w:hAnsi="Palatino Linotype"/>
          <w:sz w:val="20"/>
          <w:szCs w:val="20"/>
        </w:rPr>
        <w:t>ecause</w:t>
      </w:r>
      <w:proofErr w:type="spellEnd"/>
      <w:r w:rsidRPr="0013613A">
        <w:rPr>
          <w:rFonts w:ascii="Palatino Linotype" w:hAnsi="Palatino Linotype"/>
          <w:sz w:val="20"/>
          <w:szCs w:val="20"/>
        </w:rPr>
        <w:t xml:space="preserve"> Congress drafted the Anti-Riot Act against the backdrop of a long line of cases, from Whitney to Dennis, in which mere advocacy of violence was regularly held to be unprotected, we find it all the more likely that the exclusion found in the final phrase of § 2102(b) means to attach criminal consequences to such advocacy, and isn’t just indifferent to it. We therefore hold this language to be overbroad as well.</w:t>
      </w:r>
    </w:p>
    <w:p w14:paraId="23405BFB" w14:textId="4E7E5736"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5FE47FA4" w14:textId="0E9BE23C"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 xml:space="preserve">We think it plain that both types of riot [“acts of violence” and “threats” to commit acts of violence] describe conduct that Congress had the right to prevent in enacting the Anti-Riot Act. Indeed, regardless of any risk of bodily injury or property damage, acts of violence against others in and of themselves constitute well-recognized forms of unlawful conduct, finding no protection under the first or any other amendment. As for “threats of violence,” they too “are outside the First Amendment” under the doctrine of true threats, which “protects individuals” from even “the possibility that the threatened violence will occur.” </w:t>
      </w:r>
      <w:r w:rsidRPr="0013613A">
        <w:rPr>
          <w:rFonts w:ascii="Palatino Linotype" w:hAnsi="Palatino Linotype"/>
          <w:i/>
          <w:iCs/>
          <w:sz w:val="20"/>
          <w:szCs w:val="20"/>
        </w:rPr>
        <w:t>R.A.V. v. City of St. Paul</w:t>
      </w:r>
      <w:r w:rsidRPr="0013613A">
        <w:rPr>
          <w:rFonts w:ascii="Palatino Linotype" w:hAnsi="Palatino Linotype"/>
          <w:sz w:val="20"/>
          <w:szCs w:val="20"/>
        </w:rPr>
        <w:t xml:space="preserve"> (1992). . . .</w:t>
      </w:r>
    </w:p>
    <w:p w14:paraId="17869795" w14:textId="475D4B20" w:rsidR="00065E2E" w:rsidRPr="0013613A" w:rsidRDefault="00065E2E" w:rsidP="00F306DB">
      <w:pPr>
        <w:ind w:firstLine="720"/>
        <w:jc w:val="both"/>
        <w:rPr>
          <w:rFonts w:ascii="Palatino Linotype" w:hAnsi="Palatino Linotype" w:cs="Times New Roman"/>
          <w:sz w:val="20"/>
          <w:szCs w:val="20"/>
        </w:rPr>
      </w:pPr>
      <w:r w:rsidRPr="0013613A">
        <w:rPr>
          <w:rFonts w:ascii="Palatino Linotype" w:hAnsi="Palatino Linotype" w:cs="Times New Roman"/>
          <w:sz w:val="20"/>
          <w:szCs w:val="20"/>
        </w:rPr>
        <w:t>. . . .</w:t>
      </w:r>
    </w:p>
    <w:p w14:paraId="6117EA29" w14:textId="5662D334"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To be sure, the Anti-Riot Act has a plainly legitimate sweep. The statute validly proscribes not only efforts to engage in such unprotected speech as inciting, instigating, and organizing a riot, but also such unprotected conduct as participating in, carrying on, and committing acts of violence in furtherance of a riot, as well as aiding and abetting any person engaged in such conduct. In other words, it encompasses just about every form of unprotected activity in relation to a riot. And the statute’s conduct-related applications appear to form the basis of every reported prosecution under it.</w:t>
      </w:r>
    </w:p>
    <w:p w14:paraId="284D58D8" w14:textId="02E061EB"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 xml:space="preserve">Yet the Anti-Riot Act nonetheless sweeps up a substantial amount of protected advocacy. Whereas </w:t>
      </w:r>
      <w:r w:rsidRPr="0013613A">
        <w:rPr>
          <w:rFonts w:ascii="Palatino Linotype" w:hAnsi="Palatino Linotype"/>
          <w:i/>
          <w:iCs/>
          <w:sz w:val="20"/>
          <w:szCs w:val="20"/>
        </w:rPr>
        <w:t>Brandenburg</w:t>
      </w:r>
      <w:r w:rsidRPr="0013613A">
        <w:rPr>
          <w:rFonts w:ascii="Palatino Linotype" w:hAnsi="Palatino Linotype"/>
          <w:sz w:val="20"/>
          <w:szCs w:val="20"/>
        </w:rPr>
        <w:t xml:space="preserve"> removes advocacy relating to a riot from the protection of the First Amendment only if it is directed and likely to produce an imminent riot, the statute purports to regulate any speech tending merely to “encourage,” “promote,” or “urge” others to riot, as well as mere advocacy of any act of violence. Altogether, these areas of overbreadth cover the whole realm of advocacy that </w:t>
      </w:r>
      <w:r w:rsidRPr="0013613A">
        <w:rPr>
          <w:rFonts w:ascii="Palatino Linotype" w:hAnsi="Palatino Linotype"/>
          <w:i/>
          <w:iCs/>
          <w:sz w:val="20"/>
          <w:szCs w:val="20"/>
        </w:rPr>
        <w:t>Brandenburg</w:t>
      </w:r>
      <w:r w:rsidRPr="0013613A">
        <w:rPr>
          <w:rFonts w:ascii="Palatino Linotype" w:hAnsi="Palatino Linotype"/>
          <w:sz w:val="20"/>
          <w:szCs w:val="20"/>
        </w:rPr>
        <w:t xml:space="preserve"> protects, and </w:t>
      </w:r>
      <w:r w:rsidRPr="0013613A">
        <w:rPr>
          <w:rFonts w:ascii="Palatino Linotype" w:hAnsi="Palatino Linotype"/>
          <w:sz w:val="20"/>
          <w:szCs w:val="20"/>
        </w:rPr>
        <w:lastRenderedPageBreak/>
        <w:t xml:space="preserve">dwarfs that which it left unprotected. Thus, while the statute may have been perfectly consistent with the contemporary understanding of the First Amendment when it was enacted, </w:t>
      </w:r>
      <w:r w:rsidRPr="0013613A">
        <w:rPr>
          <w:rFonts w:ascii="Palatino Linotype" w:hAnsi="Palatino Linotype"/>
          <w:i/>
          <w:iCs/>
          <w:sz w:val="20"/>
          <w:szCs w:val="20"/>
        </w:rPr>
        <w:t>Brandenburg</w:t>
      </w:r>
      <w:r w:rsidRPr="0013613A">
        <w:rPr>
          <w:rFonts w:ascii="Palatino Linotype" w:hAnsi="Palatino Linotype"/>
          <w:sz w:val="20"/>
          <w:szCs w:val="20"/>
        </w:rPr>
        <w:t xml:space="preserve"> causes it to encroach substantially upon free speech.</w:t>
      </w:r>
    </w:p>
    <w:p w14:paraId="75192AEA" w14:textId="6EB308E5"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65692A68" w14:textId="013F9E25" w:rsidR="00065E2E" w:rsidRPr="0013613A" w:rsidRDefault="00065E2E" w:rsidP="00F306DB">
      <w:pPr>
        <w:ind w:firstLine="720"/>
        <w:jc w:val="both"/>
        <w:rPr>
          <w:rFonts w:ascii="Palatino Linotype" w:hAnsi="Palatino Linotype"/>
          <w:sz w:val="20"/>
          <w:szCs w:val="20"/>
        </w:rPr>
      </w:pPr>
      <w:r w:rsidRPr="0013613A">
        <w:rPr>
          <w:rFonts w:ascii="Palatino Linotype" w:hAnsi="Palatino Linotype"/>
          <w:sz w:val="20"/>
          <w:szCs w:val="20"/>
        </w:rPr>
        <w:t>“</w:t>
      </w:r>
      <w:r w:rsidR="000B4121" w:rsidRPr="0013613A">
        <w:rPr>
          <w:rFonts w:ascii="Palatino Linotype" w:hAnsi="Palatino Linotype"/>
          <w:sz w:val="20"/>
          <w:szCs w:val="20"/>
        </w:rPr>
        <w:t>E</w:t>
      </w:r>
      <w:r w:rsidRPr="0013613A">
        <w:rPr>
          <w:rFonts w:ascii="Palatino Linotype" w:hAnsi="Palatino Linotype"/>
          <w:sz w:val="20"/>
          <w:szCs w:val="20"/>
        </w:rPr>
        <w:t>ven in the absence of a severability clause, the traditional rule is that the unconstitutional provision must be severed unless the statute created in its absence is legislation that Congress would not have enacted.”</w:t>
      </w:r>
      <w:r w:rsidR="000B4121" w:rsidRPr="0013613A">
        <w:rPr>
          <w:rFonts w:ascii="Palatino Linotype" w:hAnsi="Palatino Linotype"/>
          <w:sz w:val="20"/>
          <w:szCs w:val="20"/>
        </w:rPr>
        <w:t xml:space="preserve"> Put differently, “we must retain those portions of the [a]</w:t>
      </w:r>
      <w:proofErr w:type="spellStart"/>
      <w:r w:rsidR="000B4121" w:rsidRPr="0013613A">
        <w:rPr>
          <w:rFonts w:ascii="Palatino Linotype" w:hAnsi="Palatino Linotype"/>
          <w:sz w:val="20"/>
          <w:szCs w:val="20"/>
        </w:rPr>
        <w:t>ct</w:t>
      </w:r>
      <w:proofErr w:type="spellEnd"/>
      <w:r w:rsidR="000B4121" w:rsidRPr="0013613A">
        <w:rPr>
          <w:rFonts w:ascii="Palatino Linotype" w:hAnsi="Palatino Linotype"/>
          <w:sz w:val="20"/>
          <w:szCs w:val="20"/>
        </w:rPr>
        <w:t xml:space="preserve"> that are (1) constitutionally valid, (2) capable of functioning independently, and (3) consistent with Congress’ basic objectives in enacting the statute.” </w:t>
      </w:r>
      <w:r w:rsidR="000B4121" w:rsidRPr="0013613A">
        <w:rPr>
          <w:rFonts w:ascii="Palatino Linotype" w:hAnsi="Palatino Linotype"/>
          <w:i/>
          <w:iCs/>
          <w:sz w:val="20"/>
          <w:szCs w:val="20"/>
        </w:rPr>
        <w:t>United States v. Booker</w:t>
      </w:r>
      <w:r w:rsidR="000B4121" w:rsidRPr="0013613A">
        <w:rPr>
          <w:rFonts w:ascii="Palatino Linotype" w:hAnsi="Palatino Linotype"/>
          <w:sz w:val="20"/>
          <w:szCs w:val="20"/>
        </w:rPr>
        <w:t xml:space="preserve"> (2005).</w:t>
      </w:r>
    </w:p>
    <w:p w14:paraId="00A29077" w14:textId="4CA5EC92" w:rsidR="000B4121" w:rsidRPr="0013613A" w:rsidRDefault="000B4121" w:rsidP="00F306DB">
      <w:pPr>
        <w:ind w:firstLine="720"/>
        <w:jc w:val="both"/>
        <w:rPr>
          <w:rFonts w:ascii="Palatino Linotype" w:hAnsi="Palatino Linotype"/>
          <w:sz w:val="20"/>
          <w:szCs w:val="20"/>
        </w:rPr>
      </w:pPr>
      <w:r w:rsidRPr="0013613A">
        <w:rPr>
          <w:rFonts w:ascii="Palatino Linotype" w:hAnsi="Palatino Linotype"/>
          <w:sz w:val="20"/>
          <w:szCs w:val="20"/>
        </w:rPr>
        <w:t>. . . .</w:t>
      </w:r>
    </w:p>
    <w:p w14:paraId="400E21CA" w14:textId="77777777" w:rsidR="000B4121" w:rsidRPr="0013613A" w:rsidRDefault="000B4121" w:rsidP="00F306DB">
      <w:pPr>
        <w:ind w:firstLine="720"/>
        <w:jc w:val="both"/>
        <w:rPr>
          <w:rFonts w:ascii="Palatino Linotype" w:hAnsi="Palatino Linotype"/>
          <w:sz w:val="20"/>
          <w:szCs w:val="20"/>
        </w:rPr>
      </w:pPr>
      <w:r w:rsidRPr="0013613A">
        <w:rPr>
          <w:rFonts w:ascii="Palatino Linotype" w:hAnsi="Palatino Linotype"/>
          <w:sz w:val="20"/>
          <w:szCs w:val="20"/>
        </w:rPr>
        <w:t xml:space="preserve">Applying these principles to the Anti-Riot Act, we hold that the appropriate remedy is to invalidate no more than the language responsible for the statute’s overbreadth. That language consists of the words “encourage,” “promote,” and “urging” under §§ 2101(a)(2) and 2102(b), as well as the final phrase of § 2102(b), beginning with the words “not involving” and continuing through the end of that provision. Severed accordingly, these provisions of the statute look like this: </w:t>
      </w:r>
    </w:p>
    <w:p w14:paraId="374D59B6" w14:textId="77777777" w:rsidR="000B4121" w:rsidRPr="0013613A" w:rsidRDefault="000B4121" w:rsidP="00F306DB">
      <w:pPr>
        <w:ind w:firstLine="720"/>
        <w:jc w:val="both"/>
        <w:rPr>
          <w:rFonts w:ascii="Palatino Linotype" w:hAnsi="Palatino Linotype"/>
          <w:sz w:val="20"/>
          <w:szCs w:val="20"/>
        </w:rPr>
      </w:pPr>
    </w:p>
    <w:p w14:paraId="125B6265" w14:textId="568DD730" w:rsidR="000B4121" w:rsidRPr="0013613A" w:rsidRDefault="000B4121" w:rsidP="000B4121">
      <w:pPr>
        <w:ind w:left="720" w:right="720" w:firstLine="720"/>
        <w:jc w:val="both"/>
        <w:rPr>
          <w:rFonts w:ascii="Palatino Linotype" w:hAnsi="Palatino Linotype"/>
          <w:sz w:val="20"/>
          <w:szCs w:val="20"/>
        </w:rPr>
      </w:pPr>
      <w:r w:rsidRPr="0013613A">
        <w:rPr>
          <w:rFonts w:ascii="Palatino Linotype" w:hAnsi="Palatino Linotype"/>
          <w:sz w:val="20"/>
          <w:szCs w:val="20"/>
        </w:rPr>
        <w:t xml:space="preserve">(a) Whoever travels in interstate or foreign commerce or uses any facility of interstate or foreign commerce, including, but not limited to, the mail, telegraph, telephone, radio, or television, with intent — . . . . (2) to organize, </w:t>
      </w:r>
      <w:r w:rsidRPr="0013613A">
        <w:rPr>
          <w:rFonts w:ascii="Palatino Linotype" w:hAnsi="Palatino Linotype"/>
          <w:strike/>
          <w:sz w:val="20"/>
          <w:szCs w:val="20"/>
        </w:rPr>
        <w:t>promote, encourage</w:t>
      </w:r>
      <w:r w:rsidRPr="0013613A">
        <w:rPr>
          <w:rFonts w:ascii="Palatino Linotype" w:hAnsi="Palatino Linotype"/>
          <w:sz w:val="20"/>
          <w:szCs w:val="20"/>
        </w:rPr>
        <w:t xml:space="preserve">, participate in, or carry on a riot;. . . . and who either during the course of any such travel or use or thereafter performs or attempts to perform any other overt act for any purpose specified in subparagraph (A), (B), (C), or (D) of this paragraph — Shall be fined under this title, or imprisoned not more than five years, or both. 18 U.S.C. § 2101(a)(2). </w:t>
      </w:r>
    </w:p>
    <w:p w14:paraId="1471790E" w14:textId="6D2AE36B" w:rsidR="000B4121" w:rsidRPr="0013613A" w:rsidRDefault="000B4121" w:rsidP="000B4121">
      <w:pPr>
        <w:ind w:left="720" w:right="720" w:firstLine="720"/>
        <w:rPr>
          <w:rFonts w:ascii="Palatino Linotype" w:hAnsi="Palatino Linotype"/>
          <w:sz w:val="20"/>
          <w:szCs w:val="20"/>
        </w:rPr>
      </w:pPr>
      <w:r w:rsidRPr="0013613A">
        <w:rPr>
          <w:rFonts w:ascii="Palatino Linotype" w:hAnsi="Palatino Linotype"/>
          <w:sz w:val="20"/>
          <w:szCs w:val="20"/>
        </w:rPr>
        <w:t xml:space="preserve">As used in this chapter, the term “to incite a riot”, or “to organize, </w:t>
      </w:r>
      <w:r w:rsidRPr="0013613A">
        <w:rPr>
          <w:rFonts w:ascii="Palatino Linotype" w:hAnsi="Palatino Linotype"/>
          <w:strike/>
          <w:sz w:val="20"/>
          <w:szCs w:val="20"/>
        </w:rPr>
        <w:t>promote, encourage</w:t>
      </w:r>
      <w:r w:rsidRPr="0013613A">
        <w:rPr>
          <w:rFonts w:ascii="Palatino Linotype" w:hAnsi="Palatino Linotype"/>
          <w:sz w:val="20"/>
          <w:szCs w:val="20"/>
        </w:rPr>
        <w:t xml:space="preserve">, participate in, or carry on a riot”, includes, but is not limited to, </w:t>
      </w:r>
      <w:r w:rsidRPr="0013613A">
        <w:rPr>
          <w:rFonts w:ascii="Palatino Linotype" w:hAnsi="Palatino Linotype"/>
          <w:strike/>
          <w:sz w:val="20"/>
          <w:szCs w:val="20"/>
        </w:rPr>
        <w:t>urging or</w:t>
      </w:r>
      <w:r w:rsidRPr="0013613A">
        <w:rPr>
          <w:rFonts w:ascii="Palatino Linotype" w:hAnsi="Palatino Linotype"/>
          <w:sz w:val="20"/>
          <w:szCs w:val="20"/>
        </w:rPr>
        <w:t xml:space="preserve"> instigating other persons to riot, but shall not be deemed to mean the mere oral or written (1) advocacy of ideas or (2) expression of belief, </w:t>
      </w:r>
      <w:r w:rsidRPr="0013613A">
        <w:rPr>
          <w:rFonts w:ascii="Palatino Linotype" w:hAnsi="Palatino Linotype"/>
          <w:strike/>
          <w:sz w:val="20"/>
          <w:szCs w:val="20"/>
        </w:rPr>
        <w:t>not involving advocacy of any act or acts of violence or assertion of the rightness of, or the right to commit, any such act or acts</w:t>
      </w:r>
      <w:r w:rsidRPr="0013613A">
        <w:rPr>
          <w:rFonts w:ascii="Palatino Linotype" w:hAnsi="Palatino Linotype"/>
          <w:sz w:val="20"/>
          <w:szCs w:val="20"/>
        </w:rPr>
        <w:t>. 18 U.S.C. § 2102(b).</w:t>
      </w:r>
    </w:p>
    <w:p w14:paraId="216367CD" w14:textId="7D91D48C" w:rsidR="000B4121" w:rsidRPr="0013613A" w:rsidRDefault="000B4121" w:rsidP="000B4121">
      <w:pPr>
        <w:ind w:firstLine="720"/>
        <w:rPr>
          <w:rFonts w:ascii="Palatino Linotype" w:hAnsi="Palatino Linotype"/>
          <w:sz w:val="20"/>
          <w:szCs w:val="20"/>
        </w:rPr>
      </w:pPr>
    </w:p>
    <w:p w14:paraId="5E93FE16" w14:textId="0EA2F4FE" w:rsidR="000B4121" w:rsidRPr="0013613A" w:rsidRDefault="000B4121" w:rsidP="000B4121">
      <w:pPr>
        <w:ind w:firstLine="720"/>
        <w:rPr>
          <w:rFonts w:ascii="Palatino Linotype" w:hAnsi="Palatino Linotype" w:cs="Times New Roman"/>
          <w:sz w:val="20"/>
          <w:szCs w:val="20"/>
        </w:rPr>
      </w:pPr>
      <w:r w:rsidRPr="0013613A">
        <w:rPr>
          <w:rFonts w:ascii="Palatino Linotype" w:hAnsi="Palatino Linotype" w:cs="Times New Roman"/>
          <w:sz w:val="20"/>
          <w:szCs w:val="20"/>
        </w:rPr>
        <w:t>. . . .</w:t>
      </w:r>
    </w:p>
    <w:p w14:paraId="1C9D6A99" w14:textId="2CBB0269" w:rsidR="000B4121" w:rsidRPr="0013613A" w:rsidRDefault="000B4121" w:rsidP="000B4121">
      <w:pPr>
        <w:ind w:firstLine="720"/>
        <w:rPr>
          <w:rFonts w:ascii="Palatino Linotype" w:hAnsi="Palatino Linotype"/>
          <w:sz w:val="20"/>
          <w:szCs w:val="20"/>
        </w:rPr>
      </w:pPr>
      <w:r w:rsidRPr="0013613A">
        <w:rPr>
          <w:rFonts w:ascii="Palatino Linotype" w:hAnsi="Palatino Linotype"/>
          <w:sz w:val="20"/>
          <w:szCs w:val="20"/>
        </w:rPr>
        <w:t>[S]</w:t>
      </w:r>
      <w:proofErr w:type="spellStart"/>
      <w:r w:rsidRPr="0013613A">
        <w:rPr>
          <w:rFonts w:ascii="Palatino Linotype" w:hAnsi="Palatino Linotype"/>
          <w:sz w:val="20"/>
          <w:szCs w:val="20"/>
        </w:rPr>
        <w:t>uch</w:t>
      </w:r>
      <w:proofErr w:type="spellEnd"/>
      <w:r w:rsidRPr="0013613A">
        <w:rPr>
          <w:rFonts w:ascii="Palatino Linotype" w:hAnsi="Palatino Linotype"/>
          <w:sz w:val="20"/>
          <w:szCs w:val="20"/>
        </w:rPr>
        <w:t xml:space="preserve"> minimal severance is consistent with Congress’s basic objective in enacting the Anti-Riot Act. We think that objective is to proscribe, to the maximum permissible extent, unprotected speech and conduct that both relates to a riot and involves the use of interstate commerce. . . .</w:t>
      </w:r>
    </w:p>
    <w:p w14:paraId="1D582F51" w14:textId="170605B6" w:rsidR="000B4121" w:rsidRPr="0013613A" w:rsidRDefault="000B4121" w:rsidP="000B4121">
      <w:pPr>
        <w:ind w:firstLine="720"/>
        <w:rPr>
          <w:rFonts w:ascii="Palatino Linotype" w:hAnsi="Palatino Linotype"/>
          <w:sz w:val="20"/>
          <w:szCs w:val="20"/>
        </w:rPr>
      </w:pPr>
      <w:r w:rsidRPr="0013613A">
        <w:rPr>
          <w:rFonts w:ascii="Palatino Linotype" w:hAnsi="Palatino Linotype"/>
          <w:sz w:val="20"/>
          <w:szCs w:val="20"/>
        </w:rPr>
        <w:t>. . . .</w:t>
      </w:r>
    </w:p>
    <w:p w14:paraId="5D15CDBD" w14:textId="3B5C4336" w:rsidR="000B4121" w:rsidRPr="0013613A" w:rsidRDefault="000B4121" w:rsidP="000B4121">
      <w:pPr>
        <w:ind w:firstLine="720"/>
        <w:rPr>
          <w:rFonts w:ascii="Palatino Linotype" w:hAnsi="Palatino Linotype"/>
          <w:sz w:val="20"/>
          <w:szCs w:val="20"/>
        </w:rPr>
      </w:pPr>
      <w:r w:rsidRPr="0013613A">
        <w:rPr>
          <w:rFonts w:ascii="Palatino Linotype" w:hAnsi="Palatino Linotype"/>
          <w:sz w:val="20"/>
          <w:szCs w:val="20"/>
        </w:rPr>
        <w:t>. . . . [T]he defendants admitted to having each (as part of an assemblage of three or more) “personally committed multiple violent acts”—including but not limited to pushing, punching, kicking, choking, head-butting, and otherwise assaulting numerous individuals, and none of which “were in self-defense”—in Huntington Beach, Berkeley, and Charlottesville.</w:t>
      </w:r>
    </w:p>
    <w:p w14:paraId="5D8B4755" w14:textId="64AFA6CB" w:rsidR="000B4121" w:rsidRPr="0013613A" w:rsidRDefault="000B4121" w:rsidP="000B4121">
      <w:pPr>
        <w:ind w:firstLine="720"/>
        <w:rPr>
          <w:rFonts w:ascii="Palatino Linotype" w:hAnsi="Palatino Linotype"/>
          <w:sz w:val="20"/>
          <w:szCs w:val="20"/>
        </w:rPr>
      </w:pPr>
      <w:r w:rsidRPr="0013613A">
        <w:rPr>
          <w:rFonts w:ascii="Palatino Linotype" w:hAnsi="Palatino Linotype"/>
          <w:sz w:val="20"/>
          <w:szCs w:val="20"/>
        </w:rPr>
        <w:t>Such substantive offense conduct qualifies manifestly as “commit[ting] any act of violence in furtherance of a riot” within the ordinary meaning of § 2101(a)(3), as well “</w:t>
      </w:r>
      <w:proofErr w:type="spellStart"/>
      <w:r w:rsidRPr="0013613A">
        <w:rPr>
          <w:rFonts w:ascii="Palatino Linotype" w:hAnsi="Palatino Linotype"/>
          <w:sz w:val="20"/>
          <w:szCs w:val="20"/>
        </w:rPr>
        <w:t>participat</w:t>
      </w:r>
      <w:proofErr w:type="spellEnd"/>
      <w:r w:rsidRPr="0013613A">
        <w:rPr>
          <w:rFonts w:ascii="Palatino Linotype" w:hAnsi="Palatino Linotype"/>
          <w:sz w:val="20"/>
          <w:szCs w:val="20"/>
        </w:rPr>
        <w:t>[</w:t>
      </w:r>
      <w:proofErr w:type="spellStart"/>
      <w:r w:rsidRPr="0013613A">
        <w:rPr>
          <w:rFonts w:ascii="Palatino Linotype" w:hAnsi="Palatino Linotype"/>
          <w:sz w:val="20"/>
          <w:szCs w:val="20"/>
        </w:rPr>
        <w:t>ing</w:t>
      </w:r>
      <w:proofErr w:type="spellEnd"/>
      <w:r w:rsidRPr="0013613A">
        <w:rPr>
          <w:rFonts w:ascii="Palatino Linotype" w:hAnsi="Palatino Linotype"/>
          <w:sz w:val="20"/>
          <w:szCs w:val="20"/>
        </w:rPr>
        <w:t>] in” and “carry[</w:t>
      </w:r>
      <w:proofErr w:type="spellStart"/>
      <w:r w:rsidRPr="0013613A">
        <w:rPr>
          <w:rFonts w:ascii="Palatino Linotype" w:hAnsi="Palatino Linotype"/>
          <w:sz w:val="20"/>
          <w:szCs w:val="20"/>
        </w:rPr>
        <w:t>ing</w:t>
      </w:r>
      <w:proofErr w:type="spellEnd"/>
      <w:r w:rsidRPr="0013613A">
        <w:rPr>
          <w:rFonts w:ascii="Palatino Linotype" w:hAnsi="Palatino Linotype"/>
          <w:sz w:val="20"/>
          <w:szCs w:val="20"/>
        </w:rPr>
        <w:t xml:space="preserve">] on a riot” within the ordinary meaning of § 2101(a)(2)—three wholly conduct-oriented purposes left unscathed by our partial invalidation of the statute. By the same token, the defendants’ offenses have manifestly nothing to do with speech tending to encourage, promote, or urge others to riot; mere advocacy of violence; or any other First Amendment activity. . . </w:t>
      </w:r>
    </w:p>
    <w:p w14:paraId="419EA6FE" w14:textId="21E11BB2" w:rsidR="000B4121" w:rsidRPr="0013613A" w:rsidRDefault="000B4121" w:rsidP="000B4121">
      <w:pPr>
        <w:ind w:firstLine="720"/>
        <w:rPr>
          <w:rFonts w:ascii="Palatino Linotype" w:hAnsi="Palatino Linotype"/>
          <w:sz w:val="20"/>
          <w:szCs w:val="20"/>
        </w:rPr>
      </w:pPr>
      <w:r w:rsidRPr="0013613A">
        <w:rPr>
          <w:rFonts w:ascii="Palatino Linotype" w:hAnsi="Palatino Linotype"/>
          <w:sz w:val="20"/>
          <w:szCs w:val="20"/>
        </w:rPr>
        <w:t>. . . .</w:t>
      </w:r>
    </w:p>
    <w:p w14:paraId="53F0508F" w14:textId="33B80C5F" w:rsidR="000B4121" w:rsidRPr="0013613A" w:rsidRDefault="000B4121" w:rsidP="000B4121">
      <w:pPr>
        <w:ind w:firstLine="720"/>
        <w:rPr>
          <w:rFonts w:ascii="Palatino Linotype" w:hAnsi="Palatino Linotype" w:cs="Times New Roman"/>
          <w:sz w:val="20"/>
          <w:szCs w:val="20"/>
        </w:rPr>
      </w:pPr>
      <w:r w:rsidRPr="0013613A">
        <w:rPr>
          <w:rFonts w:ascii="Palatino Linotype" w:hAnsi="Palatino Linotype"/>
          <w:sz w:val="20"/>
          <w:szCs w:val="20"/>
        </w:rPr>
        <w:t>. . . . It follows that anything less than facial invalidation of the statute affords the defendants no relief from their convictions. . . .</w:t>
      </w:r>
    </w:p>
    <w:p w14:paraId="190FD823" w14:textId="65AA655F" w:rsidR="00BC3046" w:rsidRPr="0013613A" w:rsidRDefault="000D3986" w:rsidP="0025762C">
      <w:pPr>
        <w:ind w:firstLine="720"/>
        <w:jc w:val="both"/>
        <w:rPr>
          <w:rFonts w:ascii="Palatino Linotype" w:hAnsi="Palatino Linotype"/>
          <w:i/>
          <w:sz w:val="20"/>
          <w:szCs w:val="20"/>
        </w:rPr>
      </w:pPr>
      <w:r w:rsidRPr="0013613A">
        <w:rPr>
          <w:rFonts w:ascii="Palatino Linotype" w:hAnsi="Palatino Linotype"/>
          <w:i/>
          <w:sz w:val="20"/>
          <w:szCs w:val="20"/>
        </w:rPr>
        <w:lastRenderedPageBreak/>
        <w:t>Affirm</w:t>
      </w:r>
      <w:r w:rsidR="000B4121" w:rsidRPr="0013613A">
        <w:rPr>
          <w:rFonts w:ascii="Palatino Linotype" w:hAnsi="Palatino Linotype"/>
          <w:i/>
          <w:sz w:val="20"/>
          <w:szCs w:val="20"/>
        </w:rPr>
        <w:t>ed</w:t>
      </w:r>
      <w:r w:rsidR="00DA08BA" w:rsidRPr="0013613A">
        <w:rPr>
          <w:rFonts w:ascii="Palatino Linotype" w:hAnsi="Palatino Linotype"/>
          <w:i/>
          <w:sz w:val="20"/>
          <w:szCs w:val="20"/>
        </w:rPr>
        <w:t>.</w:t>
      </w:r>
    </w:p>
    <w:sectPr w:rsidR="00BC3046" w:rsidRPr="001361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553D3" w14:textId="77777777" w:rsidR="00E00265" w:rsidRDefault="00E00265" w:rsidP="000E2F1A">
      <w:r>
        <w:separator/>
      </w:r>
    </w:p>
  </w:endnote>
  <w:endnote w:type="continuationSeparator" w:id="0">
    <w:p w14:paraId="1D133F80" w14:textId="77777777" w:rsidR="00E00265" w:rsidRDefault="00E0026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65E2E" w:rsidRDefault="00065E2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8F9C180" w14:textId="77777777" w:rsidR="00065E2E" w:rsidRDefault="0006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F6B47" w14:textId="77777777" w:rsidR="00E00265" w:rsidRDefault="00E00265" w:rsidP="000E2F1A">
      <w:r>
        <w:separator/>
      </w:r>
    </w:p>
  </w:footnote>
  <w:footnote w:type="continuationSeparator" w:id="0">
    <w:p w14:paraId="0482051E" w14:textId="77777777" w:rsidR="00E00265" w:rsidRDefault="00E00265"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323358"/>
    <w:multiLevelType w:val="hybridMultilevel"/>
    <w:tmpl w:val="0D6A1A5C"/>
    <w:lvl w:ilvl="0" w:tplc="ED86ABAA">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2735D"/>
    <w:rsid w:val="00034280"/>
    <w:rsid w:val="000428DE"/>
    <w:rsid w:val="000473BF"/>
    <w:rsid w:val="000557EE"/>
    <w:rsid w:val="00056859"/>
    <w:rsid w:val="00060C5C"/>
    <w:rsid w:val="00065E2E"/>
    <w:rsid w:val="00087EC4"/>
    <w:rsid w:val="0009312E"/>
    <w:rsid w:val="000B1EB6"/>
    <w:rsid w:val="000B2ED5"/>
    <w:rsid w:val="000B4121"/>
    <w:rsid w:val="000D3986"/>
    <w:rsid w:val="000D6A67"/>
    <w:rsid w:val="000E0C08"/>
    <w:rsid w:val="000E0C81"/>
    <w:rsid w:val="000E2F1A"/>
    <w:rsid w:val="000E5CF9"/>
    <w:rsid w:val="000E5EEF"/>
    <w:rsid w:val="000F1C11"/>
    <w:rsid w:val="000F4C64"/>
    <w:rsid w:val="00101523"/>
    <w:rsid w:val="001246B5"/>
    <w:rsid w:val="00135FF7"/>
    <w:rsid w:val="0013613A"/>
    <w:rsid w:val="00143EBC"/>
    <w:rsid w:val="00164EFB"/>
    <w:rsid w:val="00173E2A"/>
    <w:rsid w:val="00180936"/>
    <w:rsid w:val="00191943"/>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A5606"/>
    <w:rsid w:val="002B34BE"/>
    <w:rsid w:val="002B51C6"/>
    <w:rsid w:val="002B619F"/>
    <w:rsid w:val="002C5592"/>
    <w:rsid w:val="002C58E5"/>
    <w:rsid w:val="002F4939"/>
    <w:rsid w:val="002F508B"/>
    <w:rsid w:val="003207CD"/>
    <w:rsid w:val="00322694"/>
    <w:rsid w:val="00361F18"/>
    <w:rsid w:val="00362F16"/>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54F3A"/>
    <w:rsid w:val="0046492E"/>
    <w:rsid w:val="00467D49"/>
    <w:rsid w:val="00471B24"/>
    <w:rsid w:val="00481E47"/>
    <w:rsid w:val="004838F7"/>
    <w:rsid w:val="00490E71"/>
    <w:rsid w:val="004B0267"/>
    <w:rsid w:val="004B27DE"/>
    <w:rsid w:val="004B5528"/>
    <w:rsid w:val="004E35C6"/>
    <w:rsid w:val="004E456E"/>
    <w:rsid w:val="004F7FE7"/>
    <w:rsid w:val="005034B6"/>
    <w:rsid w:val="00526FB3"/>
    <w:rsid w:val="00530FC0"/>
    <w:rsid w:val="00531A8A"/>
    <w:rsid w:val="00553C96"/>
    <w:rsid w:val="00562B67"/>
    <w:rsid w:val="00565B89"/>
    <w:rsid w:val="005762CD"/>
    <w:rsid w:val="005927B1"/>
    <w:rsid w:val="00595709"/>
    <w:rsid w:val="005A4FD0"/>
    <w:rsid w:val="005A5A99"/>
    <w:rsid w:val="005B1713"/>
    <w:rsid w:val="005B3A91"/>
    <w:rsid w:val="005C0822"/>
    <w:rsid w:val="005C1BBA"/>
    <w:rsid w:val="005D4895"/>
    <w:rsid w:val="005E48BF"/>
    <w:rsid w:val="00622CF5"/>
    <w:rsid w:val="006276A1"/>
    <w:rsid w:val="00640D40"/>
    <w:rsid w:val="006424A9"/>
    <w:rsid w:val="00644E22"/>
    <w:rsid w:val="0065732B"/>
    <w:rsid w:val="00660729"/>
    <w:rsid w:val="00664205"/>
    <w:rsid w:val="00671558"/>
    <w:rsid w:val="00673E86"/>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2842"/>
    <w:rsid w:val="00793EE2"/>
    <w:rsid w:val="007A3463"/>
    <w:rsid w:val="007A4B49"/>
    <w:rsid w:val="007A76D7"/>
    <w:rsid w:val="007B1007"/>
    <w:rsid w:val="007C34AB"/>
    <w:rsid w:val="007E3A9B"/>
    <w:rsid w:val="007F2EA0"/>
    <w:rsid w:val="007F41DB"/>
    <w:rsid w:val="008076CA"/>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34A2B"/>
    <w:rsid w:val="00946070"/>
    <w:rsid w:val="00950479"/>
    <w:rsid w:val="00954C68"/>
    <w:rsid w:val="009611F9"/>
    <w:rsid w:val="00963D02"/>
    <w:rsid w:val="00976265"/>
    <w:rsid w:val="009B16AC"/>
    <w:rsid w:val="009B27B0"/>
    <w:rsid w:val="00A14A1B"/>
    <w:rsid w:val="00A33637"/>
    <w:rsid w:val="00A5645D"/>
    <w:rsid w:val="00A616D7"/>
    <w:rsid w:val="00A62C6F"/>
    <w:rsid w:val="00A875D2"/>
    <w:rsid w:val="00A972B8"/>
    <w:rsid w:val="00AA7E4A"/>
    <w:rsid w:val="00AB13A6"/>
    <w:rsid w:val="00AB391E"/>
    <w:rsid w:val="00AC7C58"/>
    <w:rsid w:val="00B0763C"/>
    <w:rsid w:val="00B116BB"/>
    <w:rsid w:val="00B24C72"/>
    <w:rsid w:val="00B35D01"/>
    <w:rsid w:val="00B41CA8"/>
    <w:rsid w:val="00B709E7"/>
    <w:rsid w:val="00B73345"/>
    <w:rsid w:val="00B9406A"/>
    <w:rsid w:val="00B97D2B"/>
    <w:rsid w:val="00BA49AE"/>
    <w:rsid w:val="00BB6128"/>
    <w:rsid w:val="00BC3046"/>
    <w:rsid w:val="00BC62BB"/>
    <w:rsid w:val="00BD0C6C"/>
    <w:rsid w:val="00BD1AD0"/>
    <w:rsid w:val="00BD79BC"/>
    <w:rsid w:val="00BF4162"/>
    <w:rsid w:val="00BF69A4"/>
    <w:rsid w:val="00C0192C"/>
    <w:rsid w:val="00C03175"/>
    <w:rsid w:val="00C04042"/>
    <w:rsid w:val="00C04969"/>
    <w:rsid w:val="00C26AF0"/>
    <w:rsid w:val="00C47BFC"/>
    <w:rsid w:val="00C56CE8"/>
    <w:rsid w:val="00C64673"/>
    <w:rsid w:val="00C71127"/>
    <w:rsid w:val="00C7428F"/>
    <w:rsid w:val="00C74E17"/>
    <w:rsid w:val="00C921EB"/>
    <w:rsid w:val="00C92C6B"/>
    <w:rsid w:val="00C92E8E"/>
    <w:rsid w:val="00CA2204"/>
    <w:rsid w:val="00CB3953"/>
    <w:rsid w:val="00CC59BB"/>
    <w:rsid w:val="00CC74D3"/>
    <w:rsid w:val="00CD5307"/>
    <w:rsid w:val="00CF05A5"/>
    <w:rsid w:val="00CF2A5B"/>
    <w:rsid w:val="00D16AD8"/>
    <w:rsid w:val="00D349A9"/>
    <w:rsid w:val="00D43880"/>
    <w:rsid w:val="00D61977"/>
    <w:rsid w:val="00D64B92"/>
    <w:rsid w:val="00D9018F"/>
    <w:rsid w:val="00DA08BA"/>
    <w:rsid w:val="00DB4AF4"/>
    <w:rsid w:val="00DB755B"/>
    <w:rsid w:val="00DC1D01"/>
    <w:rsid w:val="00DC23C4"/>
    <w:rsid w:val="00DE6176"/>
    <w:rsid w:val="00E00265"/>
    <w:rsid w:val="00E117B4"/>
    <w:rsid w:val="00E1544F"/>
    <w:rsid w:val="00E2103F"/>
    <w:rsid w:val="00E2543C"/>
    <w:rsid w:val="00E37BB0"/>
    <w:rsid w:val="00E65009"/>
    <w:rsid w:val="00E74ACD"/>
    <w:rsid w:val="00E87BDF"/>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66B6"/>
    <w:rsid w:val="00F818F7"/>
    <w:rsid w:val="00F83FF9"/>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0B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2020-12-11T00:13:00Z</dcterms:created>
  <dcterms:modified xsi:type="dcterms:W3CDTF">2020-12-11T00:13:00Z</dcterms:modified>
</cp:coreProperties>
</file>