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882D7" w14:textId="77777777" w:rsidR="0018143D" w:rsidRPr="008C4A24" w:rsidRDefault="0018143D" w:rsidP="0018143D">
      <w:pPr>
        <w:jc w:val="center"/>
        <w:rPr>
          <w:rFonts w:ascii="Palatino" w:hAnsi="Palatino"/>
          <w:sz w:val="20"/>
          <w:szCs w:val="20"/>
        </w:rPr>
      </w:pPr>
      <w:bookmarkStart w:id="0" w:name="_GoBack"/>
      <w:bookmarkEnd w:id="0"/>
      <w:r w:rsidRPr="008C4A24">
        <w:rPr>
          <w:rFonts w:ascii="Palatino" w:hAnsi="Palatino"/>
          <w:sz w:val="20"/>
          <w:szCs w:val="20"/>
        </w:rPr>
        <w:t>AMERICAN CONSTITUTIONALISM</w:t>
      </w:r>
    </w:p>
    <w:p w14:paraId="62B053BC" w14:textId="77777777" w:rsidR="0018143D" w:rsidRPr="008C4A24" w:rsidRDefault="00685BF1" w:rsidP="0018143D">
      <w:pPr>
        <w:jc w:val="center"/>
        <w:rPr>
          <w:rFonts w:ascii="Palatino" w:hAnsi="Palatino"/>
          <w:sz w:val="20"/>
          <w:szCs w:val="20"/>
        </w:rPr>
      </w:pPr>
      <w:r>
        <w:rPr>
          <w:rFonts w:ascii="Palatino" w:hAnsi="Palatino"/>
          <w:sz w:val="20"/>
          <w:szCs w:val="20"/>
        </w:rPr>
        <w:t>VOLUME I</w:t>
      </w:r>
      <w:r w:rsidR="0018143D" w:rsidRPr="008C4A24">
        <w:rPr>
          <w:rFonts w:ascii="Palatino" w:hAnsi="Palatino"/>
          <w:sz w:val="20"/>
          <w:szCs w:val="20"/>
        </w:rPr>
        <w:t xml:space="preserve">:  </w:t>
      </w:r>
      <w:r>
        <w:rPr>
          <w:rFonts w:ascii="Palatino" w:hAnsi="Palatino"/>
          <w:sz w:val="20"/>
          <w:szCs w:val="20"/>
        </w:rPr>
        <w:t>STRUCTURES OF GOVERNMENT</w:t>
      </w:r>
    </w:p>
    <w:p w14:paraId="21894723" w14:textId="77777777" w:rsidR="0018143D" w:rsidRPr="008C4A24" w:rsidRDefault="0018143D" w:rsidP="0018143D">
      <w:pPr>
        <w:jc w:val="center"/>
        <w:rPr>
          <w:rFonts w:ascii="Palatino" w:hAnsi="Palatino"/>
          <w:sz w:val="20"/>
          <w:szCs w:val="20"/>
        </w:rPr>
      </w:pPr>
      <w:r w:rsidRPr="008C4A24">
        <w:rPr>
          <w:rFonts w:ascii="Palatino" w:hAnsi="Palatino"/>
          <w:sz w:val="20"/>
          <w:szCs w:val="20"/>
        </w:rPr>
        <w:t>Howard Gillman • Mark A. Graber • Keith E. Whittington</w:t>
      </w:r>
    </w:p>
    <w:p w14:paraId="2A7ADC83" w14:textId="77777777" w:rsidR="0018143D" w:rsidRPr="008C4A24" w:rsidRDefault="0018143D" w:rsidP="0018143D">
      <w:pPr>
        <w:jc w:val="center"/>
        <w:rPr>
          <w:rFonts w:ascii="Palatino" w:hAnsi="Palatino"/>
          <w:sz w:val="20"/>
          <w:szCs w:val="20"/>
        </w:rPr>
      </w:pPr>
    </w:p>
    <w:p w14:paraId="466A5C6A" w14:textId="77777777" w:rsidR="0018143D" w:rsidRPr="008C4A24" w:rsidRDefault="0018143D" w:rsidP="0018143D">
      <w:pPr>
        <w:jc w:val="center"/>
        <w:rPr>
          <w:rFonts w:ascii="Palatino" w:hAnsi="Palatino"/>
          <w:sz w:val="20"/>
          <w:szCs w:val="20"/>
        </w:rPr>
      </w:pPr>
      <w:r w:rsidRPr="008C4A24">
        <w:rPr>
          <w:rFonts w:ascii="Palatino" w:hAnsi="Palatino"/>
          <w:sz w:val="20"/>
          <w:szCs w:val="20"/>
        </w:rPr>
        <w:t>Supplementary Material</w:t>
      </w:r>
    </w:p>
    <w:p w14:paraId="79682BA4" w14:textId="77777777" w:rsidR="0018143D" w:rsidRPr="008C4A24" w:rsidRDefault="0018143D" w:rsidP="0018143D">
      <w:pPr>
        <w:jc w:val="center"/>
        <w:rPr>
          <w:rFonts w:ascii="Palatino" w:hAnsi="Palatino"/>
          <w:sz w:val="20"/>
          <w:szCs w:val="20"/>
        </w:rPr>
      </w:pPr>
    </w:p>
    <w:p w14:paraId="2C5F2A51" w14:textId="77777777" w:rsidR="0018143D" w:rsidRPr="008C4A24" w:rsidRDefault="0018143D" w:rsidP="0018143D">
      <w:pPr>
        <w:jc w:val="center"/>
        <w:rPr>
          <w:rFonts w:ascii="Palatino" w:hAnsi="Palatino"/>
          <w:sz w:val="20"/>
          <w:szCs w:val="20"/>
        </w:rPr>
      </w:pPr>
      <w:r w:rsidRPr="008C4A24">
        <w:rPr>
          <w:rFonts w:ascii="Palatino" w:hAnsi="Palatino"/>
          <w:sz w:val="20"/>
          <w:szCs w:val="20"/>
        </w:rPr>
        <w:t xml:space="preserve">Chapter 11:  The </w:t>
      </w:r>
      <w:r w:rsidR="00685BF1">
        <w:rPr>
          <w:rFonts w:ascii="Palatino" w:hAnsi="Palatino"/>
          <w:sz w:val="20"/>
          <w:szCs w:val="20"/>
        </w:rPr>
        <w:t>Contemporary</w:t>
      </w:r>
      <w:r w:rsidRPr="008C4A24">
        <w:rPr>
          <w:rFonts w:ascii="Palatino" w:hAnsi="Palatino"/>
          <w:sz w:val="20"/>
          <w:szCs w:val="20"/>
        </w:rPr>
        <w:t xml:space="preserve"> Era – </w:t>
      </w:r>
      <w:r w:rsidR="004B6AC4">
        <w:rPr>
          <w:rFonts w:ascii="Palatino" w:hAnsi="Palatino"/>
          <w:sz w:val="20"/>
          <w:szCs w:val="20"/>
        </w:rPr>
        <w:t>Constitutional Authority and Judicial Power</w:t>
      </w:r>
    </w:p>
    <w:p w14:paraId="59E72317" w14:textId="77777777" w:rsidR="0018143D" w:rsidRPr="008C4A24" w:rsidRDefault="0018143D" w:rsidP="0018143D">
      <w:pPr>
        <w:jc w:val="center"/>
        <w:rPr>
          <w:rFonts w:ascii="Palatino" w:hAnsi="Palatino"/>
          <w:sz w:val="20"/>
          <w:szCs w:val="20"/>
        </w:rPr>
      </w:pPr>
    </w:p>
    <w:p w14:paraId="133A1601" w14:textId="77777777" w:rsidR="0018143D" w:rsidRPr="008C4A24" w:rsidRDefault="0018143D" w:rsidP="0018143D">
      <w:pPr>
        <w:jc w:val="both"/>
        <w:rPr>
          <w:rFonts w:ascii="Palatino" w:hAnsi="Palatino"/>
          <w:sz w:val="20"/>
          <w:szCs w:val="20"/>
        </w:rPr>
      </w:pPr>
    </w:p>
    <w:p w14:paraId="366AE660" w14:textId="77777777" w:rsidR="0018143D" w:rsidRPr="008C4A24" w:rsidRDefault="0018143D" w:rsidP="0018143D">
      <w:pPr>
        <w:jc w:val="both"/>
        <w:rPr>
          <w:rFonts w:ascii="Palatino" w:hAnsi="Palatino"/>
          <w:sz w:val="20"/>
          <w:szCs w:val="20"/>
        </w:rPr>
      </w:pPr>
    </w:p>
    <w:p w14:paraId="3E14CBB0" w14:textId="77777777" w:rsidR="00495DEF" w:rsidRPr="008C4A24" w:rsidRDefault="003F5E21">
      <w:pPr>
        <w:rPr>
          <w:rFonts w:ascii="Palatino" w:hAnsi="Palatino" w:cs="Times New Roman"/>
          <w:sz w:val="20"/>
          <w:szCs w:val="20"/>
        </w:rPr>
      </w:pPr>
      <w:r>
        <w:rPr>
          <w:rFonts w:ascii="Palatino" w:hAnsi="Palatino" w:cs="Times New Roman"/>
          <w:sz w:val="20"/>
          <w:szCs w:val="20"/>
        </w:rPr>
        <w:pict w14:anchorId="6499CED3">
          <v:rect id="_x0000_i1025" style="width:468pt;height:1.5pt" o:hralign="center" o:hrstd="t" o:hrnoshade="t" o:hr="t" fillcolor="black [3213]" stroked="f"/>
        </w:pict>
      </w:r>
    </w:p>
    <w:p w14:paraId="3ED6FE79" w14:textId="77777777" w:rsidR="00760334" w:rsidRPr="008C4A24" w:rsidRDefault="004B6AC4" w:rsidP="00495DEF">
      <w:pPr>
        <w:jc w:val="center"/>
        <w:rPr>
          <w:rFonts w:ascii="Palatino" w:hAnsi="Palatino" w:cs="Times New Roman"/>
          <w:sz w:val="20"/>
          <w:szCs w:val="20"/>
        </w:rPr>
      </w:pPr>
      <w:r>
        <w:rPr>
          <w:rFonts w:ascii="Palatino" w:hAnsi="Palatino" w:cs="Times New Roman"/>
          <w:b/>
          <w:sz w:val="20"/>
          <w:szCs w:val="20"/>
        </w:rPr>
        <w:t>Armstrong v. Exceptional Child Center</w:t>
      </w:r>
      <w:r w:rsidR="00495DEF" w:rsidRPr="008C4A24">
        <w:rPr>
          <w:rFonts w:ascii="Palatino" w:hAnsi="Palatino" w:cs="Times New Roman"/>
          <w:b/>
          <w:sz w:val="20"/>
          <w:szCs w:val="20"/>
        </w:rPr>
        <w:t xml:space="preserve">, </w:t>
      </w:r>
      <w:r w:rsidR="00685BF1">
        <w:rPr>
          <w:rFonts w:ascii="Palatino" w:hAnsi="Palatino" w:cs="Times New Roman"/>
          <w:b/>
          <w:sz w:val="20"/>
          <w:szCs w:val="20"/>
        </w:rPr>
        <w:t>_ U.S. _</w:t>
      </w:r>
      <w:r w:rsidR="00495DEF" w:rsidRPr="008C4A24">
        <w:rPr>
          <w:rFonts w:ascii="Palatino" w:hAnsi="Palatino" w:cs="Times New Roman"/>
          <w:b/>
          <w:sz w:val="20"/>
          <w:szCs w:val="20"/>
        </w:rPr>
        <w:t xml:space="preserve"> </w:t>
      </w:r>
      <w:r w:rsidR="00685BF1">
        <w:rPr>
          <w:rFonts w:ascii="Palatino" w:hAnsi="Palatino" w:cs="Times New Roman"/>
          <w:sz w:val="20"/>
          <w:szCs w:val="20"/>
        </w:rPr>
        <w:t>(2015</w:t>
      </w:r>
      <w:r w:rsidR="00495DEF" w:rsidRPr="008C4A24">
        <w:rPr>
          <w:rFonts w:ascii="Palatino" w:hAnsi="Palatino" w:cs="Times New Roman"/>
          <w:sz w:val="20"/>
          <w:szCs w:val="20"/>
        </w:rPr>
        <w:t>)</w:t>
      </w:r>
    </w:p>
    <w:p w14:paraId="58ED3223" w14:textId="77777777" w:rsidR="00495DEF" w:rsidRPr="008C4A24" w:rsidRDefault="003F5E21">
      <w:pPr>
        <w:rPr>
          <w:rFonts w:ascii="Palatino" w:hAnsi="Palatino" w:cs="Times New Roman"/>
          <w:sz w:val="20"/>
          <w:szCs w:val="20"/>
        </w:rPr>
      </w:pPr>
      <w:r>
        <w:rPr>
          <w:rFonts w:ascii="Palatino" w:hAnsi="Palatino" w:cs="Times New Roman"/>
          <w:sz w:val="20"/>
          <w:szCs w:val="20"/>
        </w:rPr>
        <w:pict w14:anchorId="7BA06DE2">
          <v:rect id="_x0000_i1026" style="width:468pt;height:1.5pt" o:hralign="center" o:hrstd="t" o:hrnoshade="t" o:hr="t" fillcolor="black [3213]" stroked="f"/>
        </w:pict>
      </w:r>
    </w:p>
    <w:p w14:paraId="1EA93BD0" w14:textId="77777777" w:rsidR="00495DEF" w:rsidRPr="008C4A24" w:rsidRDefault="00495DEF">
      <w:pPr>
        <w:rPr>
          <w:rFonts w:ascii="Palatino" w:hAnsi="Palatino" w:cs="Times New Roman"/>
          <w:sz w:val="20"/>
          <w:szCs w:val="20"/>
        </w:rPr>
      </w:pPr>
    </w:p>
    <w:p w14:paraId="5D685EE5" w14:textId="77777777" w:rsidR="00DA61B7" w:rsidRPr="00916DEF" w:rsidRDefault="00317133" w:rsidP="00916DEF">
      <w:pPr>
        <w:jc w:val="both"/>
        <w:rPr>
          <w:rFonts w:ascii="Palatino Linotype" w:hAnsi="Palatino Linotype" w:cs="Times New Roman"/>
          <w:i/>
          <w:sz w:val="20"/>
          <w:szCs w:val="20"/>
        </w:rPr>
      </w:pPr>
      <w:r w:rsidRPr="00916DEF">
        <w:rPr>
          <w:rFonts w:ascii="Palatino Linotype" w:hAnsi="Palatino Linotype" w:cs="Times New Roman"/>
          <w:i/>
          <w:sz w:val="20"/>
          <w:szCs w:val="20"/>
        </w:rPr>
        <w:t xml:space="preserve">The federal Medicaid program that provides </w:t>
      </w:r>
      <w:r w:rsidR="00E87153" w:rsidRPr="00916DEF">
        <w:rPr>
          <w:rFonts w:ascii="Palatino Linotype" w:hAnsi="Palatino Linotype" w:cs="Times New Roman"/>
          <w:i/>
          <w:sz w:val="20"/>
          <w:szCs w:val="20"/>
        </w:rPr>
        <w:t>medical</w:t>
      </w:r>
      <w:r w:rsidRPr="00916DEF">
        <w:rPr>
          <w:rFonts w:ascii="Palatino Linotype" w:hAnsi="Palatino Linotype" w:cs="Times New Roman"/>
          <w:i/>
          <w:sz w:val="20"/>
          <w:szCs w:val="20"/>
        </w:rPr>
        <w:t xml:space="preserve"> services for the poor </w:t>
      </w:r>
      <w:r w:rsidR="00E87153" w:rsidRPr="00916DEF">
        <w:rPr>
          <w:rFonts w:ascii="Palatino Linotype" w:hAnsi="Palatino Linotype" w:cs="Times New Roman"/>
          <w:i/>
          <w:sz w:val="20"/>
          <w:szCs w:val="20"/>
        </w:rPr>
        <w:t>works through supplying federal funds for state-administered programs. Idaho’s federally approved Medicaid plan includes in-home care for some patients. Exceptional Child Center is one such provider of in-home care, and it sued the state of Idaho in federal district court. The center contended that the state failed to reimburse providers at the rates required by federal statute. The district court ruled against the state, agreeing that the state was not meeting federal requirements, and on appeal the circuit court affirmed that ruling. State officials appealed to the U.S. Supreme Court, which took the case in order to focus not on the substantive issue of whether Idaho was fully compliant with the federal statute but on the prior issue of whether the in-home care providers had a legal right of action that the federal courts could hear. The providers contended that the Supremacy Clause of the U.S. Constitution created an implied right of action for private lawsuits aimed at invoking the federal preemption of conflicting state law.</w:t>
      </w:r>
    </w:p>
    <w:p w14:paraId="080D6A36" w14:textId="77777777" w:rsidR="00495DEF" w:rsidRPr="00916DEF" w:rsidRDefault="00DA61B7" w:rsidP="00916DEF">
      <w:pPr>
        <w:ind w:firstLine="720"/>
        <w:jc w:val="both"/>
        <w:rPr>
          <w:rFonts w:ascii="Palatino Linotype" w:hAnsi="Palatino Linotype" w:cs="Times New Roman"/>
          <w:i/>
          <w:sz w:val="20"/>
          <w:szCs w:val="20"/>
        </w:rPr>
      </w:pPr>
      <w:r w:rsidRPr="00916DEF">
        <w:rPr>
          <w:rFonts w:ascii="Palatino Linotype" w:hAnsi="Palatino Linotype" w:cs="Times New Roman"/>
          <w:i/>
          <w:sz w:val="20"/>
          <w:szCs w:val="20"/>
        </w:rPr>
        <w:t>In a 5-4 decision, the U.S. Supreme Court held that there was no legal right of action to sustain the suit, reversing the lower courts. All of the justices agreed that the Supremacy Clause did not in itself create a private right of action, but the justices disagreed over whether private individuals could invoke a traditional equity claim in the federal courts in order to prevent state officials from acting in violation of federal law. The majority held that the Medicaid statute implicitly precluded private lawsuits by providing explicit remedies for state misbehavior that relied on the discretion of the U.S. Secretary of Health and Human Services, while the dissent argues that the statutory remedy was not intended to foreclose private suits that might bring the violation before a federal judge.</w:t>
      </w:r>
    </w:p>
    <w:p w14:paraId="05B04621" w14:textId="77777777" w:rsidR="00495DEF" w:rsidRPr="00916DEF" w:rsidRDefault="00495DEF" w:rsidP="00916DEF">
      <w:pPr>
        <w:jc w:val="both"/>
        <w:rPr>
          <w:rFonts w:ascii="Palatino Linotype" w:hAnsi="Palatino Linotype" w:cs="Times New Roman"/>
          <w:sz w:val="20"/>
          <w:szCs w:val="20"/>
        </w:rPr>
      </w:pPr>
    </w:p>
    <w:p w14:paraId="567F0F6B" w14:textId="77777777" w:rsidR="00495DEF" w:rsidRPr="00916DEF" w:rsidRDefault="00495DEF" w:rsidP="00916DEF">
      <w:pPr>
        <w:jc w:val="both"/>
        <w:rPr>
          <w:rFonts w:ascii="Palatino Linotype" w:hAnsi="Palatino Linotype" w:cs="Times New Roman"/>
          <w:sz w:val="20"/>
          <w:szCs w:val="20"/>
        </w:rPr>
      </w:pPr>
      <w:r w:rsidRPr="00916DEF">
        <w:rPr>
          <w:rFonts w:ascii="Palatino Linotype" w:hAnsi="Palatino Linotype" w:cs="Times New Roman"/>
          <w:sz w:val="20"/>
          <w:szCs w:val="20"/>
        </w:rPr>
        <w:t xml:space="preserve">JUSTICE </w:t>
      </w:r>
      <w:r w:rsidR="004B6AC4" w:rsidRPr="00916DEF">
        <w:rPr>
          <w:rFonts w:ascii="Palatino Linotype" w:hAnsi="Palatino Linotype" w:cs="Times New Roman"/>
          <w:sz w:val="20"/>
          <w:szCs w:val="20"/>
        </w:rPr>
        <w:t>SCALIA</w:t>
      </w:r>
      <w:r w:rsidRPr="00916DEF">
        <w:rPr>
          <w:rFonts w:ascii="Palatino Linotype" w:hAnsi="Palatino Linotype" w:cs="Times New Roman"/>
          <w:sz w:val="20"/>
          <w:szCs w:val="20"/>
        </w:rPr>
        <w:t xml:space="preserve"> delivered the opinion of the Court.</w:t>
      </w:r>
    </w:p>
    <w:p w14:paraId="637F54E2" w14:textId="77777777" w:rsidR="004B6AC4" w:rsidRPr="00916DEF" w:rsidRDefault="00825875" w:rsidP="00916DEF">
      <w:pPr>
        <w:ind w:firstLine="720"/>
        <w:jc w:val="both"/>
        <w:rPr>
          <w:rFonts w:ascii="Palatino Linotype" w:hAnsi="Palatino Linotype" w:cs="Times New Roman"/>
          <w:sz w:val="20"/>
          <w:szCs w:val="20"/>
        </w:rPr>
      </w:pPr>
      <w:r w:rsidRPr="00916DEF">
        <w:rPr>
          <w:rFonts w:ascii="Palatino Linotype" w:hAnsi="Palatino Linotype" w:cs="Times New Roman"/>
          <w:sz w:val="20"/>
          <w:szCs w:val="20"/>
        </w:rPr>
        <w:t>. . . .</w:t>
      </w:r>
    </w:p>
    <w:p w14:paraId="26E85A37" w14:textId="77777777" w:rsidR="00ED28FB" w:rsidRPr="00916DEF" w:rsidRDefault="00ED28FB" w:rsidP="00916DEF">
      <w:pPr>
        <w:ind w:firstLine="720"/>
        <w:jc w:val="both"/>
        <w:rPr>
          <w:rFonts w:ascii="Palatino Linotype" w:hAnsi="Palatino Linotype" w:cs="Times New Roman"/>
          <w:sz w:val="20"/>
          <w:szCs w:val="20"/>
        </w:rPr>
      </w:pPr>
      <w:r w:rsidRPr="00916DEF">
        <w:rPr>
          <w:rFonts w:ascii="Palatino Linotype" w:hAnsi="Palatino Linotype" w:cs="Times New Roman"/>
          <w:sz w:val="20"/>
          <w:szCs w:val="20"/>
        </w:rPr>
        <w:t xml:space="preserve">It is apparent that [the Supremacy] Clause creates a rule of decision. Courts “shall” regard the “Constitution,” and all laws “made in Pursuance thereof,” as “the supreme Law of the Land.” They must not give effect to state laws that conflict with federal laws. </w:t>
      </w:r>
      <w:r w:rsidRPr="00916DEF">
        <w:rPr>
          <w:rFonts w:ascii="Palatino Linotype" w:hAnsi="Palatino Linotype" w:cs="Times New Roman"/>
          <w:i/>
          <w:sz w:val="20"/>
          <w:szCs w:val="20"/>
        </w:rPr>
        <w:t>Gibbons v. Ogden</w:t>
      </w:r>
      <w:r w:rsidRPr="00916DEF">
        <w:rPr>
          <w:rFonts w:ascii="Palatino Linotype" w:hAnsi="Palatino Linotype" w:cs="Times New Roman"/>
          <w:sz w:val="20"/>
          <w:szCs w:val="20"/>
        </w:rPr>
        <w:t xml:space="preserve"> (1824). It is equally apparent that the Supremacy Clause is not the “source of any federal rights,” and certainly does not create a cause of action. It instructs courts what to do when state and federal law clash, but is silent regarding who may enforce federal laws in court, and in what circumstances they may do so.</w:t>
      </w:r>
    </w:p>
    <w:p w14:paraId="3AD9A9FA" w14:textId="77777777" w:rsidR="00ED28FB" w:rsidRPr="00916DEF" w:rsidRDefault="00ED28FB" w:rsidP="00916DEF">
      <w:pPr>
        <w:ind w:firstLine="720"/>
        <w:jc w:val="both"/>
        <w:rPr>
          <w:rFonts w:ascii="Palatino Linotype" w:hAnsi="Palatino Linotype" w:cs="Times New Roman"/>
          <w:sz w:val="20"/>
          <w:szCs w:val="20"/>
        </w:rPr>
      </w:pPr>
      <w:r w:rsidRPr="00916DEF">
        <w:rPr>
          <w:rFonts w:ascii="Palatino Linotype" w:hAnsi="Palatino Linotype" w:cs="Times New Roman"/>
          <w:sz w:val="20"/>
          <w:szCs w:val="20"/>
        </w:rPr>
        <w:t>. . . .</w:t>
      </w:r>
    </w:p>
    <w:p w14:paraId="4B5AA5ED" w14:textId="77777777" w:rsidR="00ED28FB" w:rsidRPr="00916DEF" w:rsidRDefault="00ED28FB" w:rsidP="00916DEF">
      <w:pPr>
        <w:ind w:firstLine="720"/>
        <w:jc w:val="both"/>
        <w:rPr>
          <w:rFonts w:ascii="Palatino Linotype" w:hAnsi="Palatino Linotype" w:cs="Times New Roman"/>
          <w:sz w:val="20"/>
          <w:szCs w:val="20"/>
        </w:rPr>
      </w:pPr>
      <w:r w:rsidRPr="00916DEF">
        <w:rPr>
          <w:rFonts w:ascii="Palatino Linotype" w:hAnsi="Palatino Linotype" w:cs="Times New Roman"/>
          <w:sz w:val="20"/>
          <w:szCs w:val="20"/>
        </w:rPr>
        <w:t xml:space="preserve">[I]t is important to read the Supremacy Clause in the context of the Constitution as a whole Article I vests Congress with broad discretion over the manner of implementing its enumerated powers, giving it authority to “make all Laws which shall be necessary and proper for carrying [them] into Execution.” </w:t>
      </w:r>
      <w:r w:rsidR="00B077A8" w:rsidRPr="00916DEF">
        <w:rPr>
          <w:rFonts w:ascii="Palatino Linotype" w:hAnsi="Palatino Linotype" w:cs="Times New Roman"/>
          <w:sz w:val="20"/>
          <w:szCs w:val="20"/>
        </w:rPr>
        <w:t xml:space="preserve">We have said that this confers upon the Legislature “that discretion, with respect to the means by which the powers [the Constitution] confers are to be carried into execution, which will enable that body to perform the high duties assigned to it.” </w:t>
      </w:r>
      <w:r w:rsidR="00B077A8" w:rsidRPr="00916DEF">
        <w:rPr>
          <w:rFonts w:ascii="Palatino Linotype" w:hAnsi="Palatino Linotype" w:cs="Times New Roman"/>
          <w:i/>
          <w:sz w:val="20"/>
          <w:szCs w:val="20"/>
        </w:rPr>
        <w:t>McCulloch v. Maryland</w:t>
      </w:r>
      <w:r w:rsidR="00B077A8" w:rsidRPr="00916DEF">
        <w:rPr>
          <w:rFonts w:ascii="Palatino Linotype" w:hAnsi="Palatino Linotype" w:cs="Times New Roman"/>
          <w:sz w:val="20"/>
          <w:szCs w:val="20"/>
        </w:rPr>
        <w:t xml:space="preserve"> (1819). . . . If the Supremacy Clause includes a private right of action, then the Constitution </w:t>
      </w:r>
      <w:r w:rsidR="00B077A8" w:rsidRPr="00916DEF">
        <w:rPr>
          <w:rFonts w:ascii="Palatino Linotype" w:hAnsi="Palatino Linotype" w:cs="Times New Roman"/>
          <w:i/>
          <w:sz w:val="20"/>
          <w:szCs w:val="20"/>
        </w:rPr>
        <w:t>requires</w:t>
      </w:r>
      <w:r w:rsidR="00B077A8" w:rsidRPr="00916DEF">
        <w:rPr>
          <w:rFonts w:ascii="Palatino Linotype" w:hAnsi="Palatino Linotype" w:cs="Times New Roman"/>
          <w:sz w:val="20"/>
          <w:szCs w:val="20"/>
        </w:rPr>
        <w:t xml:space="preserve"> Congress to permit the enforcement of its laws by private actors, significantly curtailing its ability to guide the implementation of federal law. It would be strange </w:t>
      </w:r>
      <w:r w:rsidR="00B077A8" w:rsidRPr="00916DEF">
        <w:rPr>
          <w:rFonts w:ascii="Palatino Linotype" w:hAnsi="Palatino Linotype" w:cs="Times New Roman"/>
          <w:sz w:val="20"/>
          <w:szCs w:val="20"/>
        </w:rPr>
        <w:lastRenderedPageBreak/>
        <w:t xml:space="preserve">indeed to give a clause that makes federal law supreme a reading that </w:t>
      </w:r>
      <w:r w:rsidR="00B077A8" w:rsidRPr="00916DEF">
        <w:rPr>
          <w:rFonts w:ascii="Palatino Linotype" w:hAnsi="Palatino Linotype" w:cs="Times New Roman"/>
          <w:i/>
          <w:sz w:val="20"/>
          <w:szCs w:val="20"/>
        </w:rPr>
        <w:t>limits</w:t>
      </w:r>
      <w:r w:rsidR="00B077A8" w:rsidRPr="00916DEF">
        <w:rPr>
          <w:rFonts w:ascii="Palatino Linotype" w:hAnsi="Palatino Linotype" w:cs="Times New Roman"/>
          <w:sz w:val="20"/>
          <w:szCs w:val="20"/>
        </w:rPr>
        <w:t xml:space="preserve"> Congress’s power to enforce that law, by imposing mandatory private enforcement – a limitation unheard-of with regard to state legislatures.</w:t>
      </w:r>
    </w:p>
    <w:p w14:paraId="6F9C4139" w14:textId="77777777" w:rsidR="006E43DB" w:rsidRPr="00916DEF" w:rsidRDefault="006E43DB" w:rsidP="00916DEF">
      <w:pPr>
        <w:ind w:firstLine="720"/>
        <w:jc w:val="both"/>
        <w:rPr>
          <w:rFonts w:ascii="Palatino Linotype" w:hAnsi="Palatino Linotype" w:cs="Times New Roman"/>
          <w:sz w:val="20"/>
          <w:szCs w:val="20"/>
        </w:rPr>
      </w:pPr>
      <w:r w:rsidRPr="00916DEF">
        <w:rPr>
          <w:rFonts w:ascii="Palatino Linotype" w:hAnsi="Palatino Linotype" w:cs="Times New Roman"/>
          <w:sz w:val="20"/>
          <w:szCs w:val="20"/>
        </w:rPr>
        <w:t>. . . .</w:t>
      </w:r>
    </w:p>
    <w:p w14:paraId="587F1686" w14:textId="77777777" w:rsidR="006E43DB" w:rsidRPr="00916DEF" w:rsidRDefault="0067514C" w:rsidP="00916DEF">
      <w:pPr>
        <w:ind w:firstLine="720"/>
        <w:jc w:val="both"/>
        <w:rPr>
          <w:rFonts w:ascii="Palatino Linotype" w:hAnsi="Palatino Linotype" w:cs="Times New Roman"/>
          <w:sz w:val="20"/>
          <w:szCs w:val="20"/>
        </w:rPr>
      </w:pPr>
      <w:r w:rsidRPr="00916DEF">
        <w:rPr>
          <w:rFonts w:ascii="Palatino Linotype" w:hAnsi="Palatino Linotype" w:cs="Times New Roman"/>
          <w:sz w:val="20"/>
          <w:szCs w:val="20"/>
        </w:rPr>
        <w:t>The ability to sue to enjoin unconstitutional actions by state and federal officers is the creation of courts of equity, and reflects a long history of judicial review of illegal executive action, tracing back to England. It is a judge-made remedy, and we have never held or even suggested that, in its application to state officers, it rests upon an implied right of action contained in the Supremacy Clause. That is because, as even the dissent implicitly acknowledges, it does not. . . .</w:t>
      </w:r>
    </w:p>
    <w:p w14:paraId="1E900566" w14:textId="77777777" w:rsidR="00CC1B90" w:rsidRPr="00916DEF" w:rsidRDefault="00CC1B90" w:rsidP="00916DEF">
      <w:pPr>
        <w:ind w:firstLine="720"/>
        <w:jc w:val="both"/>
        <w:rPr>
          <w:rFonts w:ascii="Palatino Linotype" w:hAnsi="Palatino Linotype" w:cs="Times New Roman"/>
          <w:sz w:val="20"/>
          <w:szCs w:val="20"/>
        </w:rPr>
      </w:pPr>
      <w:r w:rsidRPr="00916DEF">
        <w:rPr>
          <w:rFonts w:ascii="Palatino Linotype" w:hAnsi="Palatino Linotype" w:cs="Times New Roman"/>
          <w:sz w:val="20"/>
          <w:szCs w:val="20"/>
        </w:rPr>
        <w:t>We turn next to respondents’ contention that, quite apart from any cause of action conferred by the Supremacy Clause, this suit can proceed against Idaho in equity.</w:t>
      </w:r>
    </w:p>
    <w:p w14:paraId="162BD10E" w14:textId="77777777" w:rsidR="00CC1B90" w:rsidRPr="00916DEF" w:rsidRDefault="00CC1B90" w:rsidP="00916DEF">
      <w:pPr>
        <w:ind w:firstLine="720"/>
        <w:jc w:val="both"/>
        <w:rPr>
          <w:rFonts w:ascii="Palatino Linotype" w:hAnsi="Palatino Linotype" w:cs="Times New Roman"/>
          <w:sz w:val="20"/>
          <w:szCs w:val="20"/>
        </w:rPr>
      </w:pPr>
      <w:r w:rsidRPr="00916DEF">
        <w:rPr>
          <w:rFonts w:ascii="Palatino Linotype" w:hAnsi="Palatino Linotype" w:cs="Times New Roman"/>
          <w:sz w:val="20"/>
          <w:szCs w:val="20"/>
        </w:rPr>
        <w:t>The power of federal courts of equity to enjoin unlawful executive action is subject to express and implied statutory limitations. . . . In our view the Medicaid Act implicitly precludes private enforcement of Section 30(A), and respondents cannot, by invoking our equitable powers, circumvent Congress’s exclusion of private enforcement.</w:t>
      </w:r>
    </w:p>
    <w:p w14:paraId="29FFC600" w14:textId="77777777" w:rsidR="0075479A" w:rsidRPr="00916DEF" w:rsidRDefault="00337845" w:rsidP="00916DEF">
      <w:pPr>
        <w:ind w:firstLine="720"/>
        <w:jc w:val="both"/>
        <w:rPr>
          <w:rFonts w:ascii="Palatino Linotype" w:hAnsi="Palatino Linotype" w:cs="Times New Roman"/>
          <w:sz w:val="20"/>
          <w:szCs w:val="20"/>
        </w:rPr>
      </w:pPr>
      <w:r w:rsidRPr="00916DEF">
        <w:rPr>
          <w:rFonts w:ascii="Palatino Linotype" w:hAnsi="Palatino Linotype" w:cs="Times New Roman"/>
          <w:sz w:val="20"/>
          <w:szCs w:val="20"/>
        </w:rPr>
        <w:t>. . . .</w:t>
      </w:r>
    </w:p>
    <w:p w14:paraId="545BC584" w14:textId="77777777" w:rsidR="00337845" w:rsidRPr="00916DEF" w:rsidRDefault="004B6AC4" w:rsidP="00916DEF">
      <w:pPr>
        <w:ind w:firstLine="720"/>
        <w:jc w:val="both"/>
        <w:rPr>
          <w:rFonts w:ascii="Palatino Linotype" w:hAnsi="Palatino Linotype" w:cs="Times New Roman"/>
          <w:sz w:val="20"/>
          <w:szCs w:val="20"/>
        </w:rPr>
      </w:pPr>
      <w:r w:rsidRPr="00916DEF">
        <w:rPr>
          <w:rFonts w:ascii="Palatino Linotype" w:hAnsi="Palatino Linotype" w:cs="Times New Roman"/>
          <w:i/>
          <w:sz w:val="20"/>
          <w:szCs w:val="20"/>
        </w:rPr>
        <w:t>Reversed</w:t>
      </w:r>
      <w:r w:rsidR="00337845" w:rsidRPr="00916DEF">
        <w:rPr>
          <w:rFonts w:ascii="Palatino Linotype" w:hAnsi="Palatino Linotype" w:cs="Times New Roman"/>
          <w:sz w:val="20"/>
          <w:szCs w:val="20"/>
        </w:rPr>
        <w:t>.</w:t>
      </w:r>
    </w:p>
    <w:p w14:paraId="5FB538C9" w14:textId="77777777" w:rsidR="00337845" w:rsidRPr="00916DEF" w:rsidRDefault="00337845" w:rsidP="00916DEF">
      <w:pPr>
        <w:ind w:firstLine="720"/>
        <w:jc w:val="both"/>
        <w:rPr>
          <w:rFonts w:ascii="Palatino Linotype" w:hAnsi="Palatino Linotype" w:cs="Times New Roman"/>
          <w:sz w:val="20"/>
          <w:szCs w:val="20"/>
        </w:rPr>
      </w:pPr>
    </w:p>
    <w:p w14:paraId="46505D12" w14:textId="77777777" w:rsidR="00337845" w:rsidRPr="00916DEF" w:rsidRDefault="00337845" w:rsidP="00916DEF">
      <w:pPr>
        <w:jc w:val="both"/>
        <w:rPr>
          <w:rFonts w:ascii="Palatino Linotype" w:hAnsi="Palatino Linotype" w:cs="Times New Roman"/>
          <w:sz w:val="20"/>
          <w:szCs w:val="20"/>
        </w:rPr>
      </w:pPr>
      <w:r w:rsidRPr="00916DEF">
        <w:rPr>
          <w:rFonts w:ascii="Palatino Linotype" w:hAnsi="Palatino Linotype" w:cs="Times New Roman"/>
          <w:sz w:val="20"/>
          <w:szCs w:val="20"/>
        </w:rPr>
        <w:t xml:space="preserve">JUSTICE </w:t>
      </w:r>
      <w:r w:rsidR="004B6AC4" w:rsidRPr="00916DEF">
        <w:rPr>
          <w:rFonts w:ascii="Palatino Linotype" w:hAnsi="Palatino Linotype" w:cs="Times New Roman"/>
          <w:sz w:val="20"/>
          <w:szCs w:val="20"/>
        </w:rPr>
        <w:t>BREYER</w:t>
      </w:r>
      <w:r w:rsidRPr="00916DEF">
        <w:rPr>
          <w:rFonts w:ascii="Palatino Linotype" w:hAnsi="Palatino Linotype" w:cs="Times New Roman"/>
          <w:sz w:val="20"/>
          <w:szCs w:val="20"/>
        </w:rPr>
        <w:t>, concurring.</w:t>
      </w:r>
    </w:p>
    <w:p w14:paraId="140F6484" w14:textId="77777777" w:rsidR="007E2EFF" w:rsidRPr="00916DEF" w:rsidRDefault="00337845" w:rsidP="00916DEF">
      <w:pPr>
        <w:ind w:firstLine="720"/>
        <w:jc w:val="both"/>
        <w:rPr>
          <w:rFonts w:ascii="Palatino Linotype" w:hAnsi="Palatino Linotype" w:cs="Times New Roman"/>
          <w:sz w:val="20"/>
          <w:szCs w:val="20"/>
        </w:rPr>
      </w:pPr>
      <w:r w:rsidRPr="00916DEF">
        <w:rPr>
          <w:rFonts w:ascii="Palatino Linotype" w:hAnsi="Palatino Linotype" w:cs="Times New Roman"/>
          <w:sz w:val="20"/>
          <w:szCs w:val="20"/>
        </w:rPr>
        <w:t>. . . .</w:t>
      </w:r>
      <w:r w:rsidR="00C011A6" w:rsidRPr="00916DEF">
        <w:rPr>
          <w:rFonts w:ascii="Palatino Linotype" w:hAnsi="Palatino Linotype" w:cs="Times New Roman"/>
          <w:sz w:val="20"/>
          <w:szCs w:val="20"/>
        </w:rPr>
        <w:t xml:space="preserve"> </w:t>
      </w:r>
    </w:p>
    <w:p w14:paraId="2D8FE1CA" w14:textId="77777777" w:rsidR="0097388D" w:rsidRPr="00916DEF" w:rsidRDefault="0097388D" w:rsidP="00916DEF">
      <w:pPr>
        <w:ind w:firstLine="720"/>
        <w:jc w:val="both"/>
        <w:rPr>
          <w:rFonts w:ascii="Palatino Linotype" w:hAnsi="Palatino Linotype" w:cs="Times New Roman"/>
          <w:sz w:val="20"/>
          <w:szCs w:val="20"/>
        </w:rPr>
      </w:pPr>
      <w:r w:rsidRPr="00916DEF">
        <w:rPr>
          <w:rFonts w:ascii="Palatino Linotype" w:hAnsi="Palatino Linotype" w:cs="Times New Roman"/>
          <w:sz w:val="20"/>
          <w:szCs w:val="20"/>
        </w:rPr>
        <w:t xml:space="preserve">Like all other Members of this Court, I would not characterize the question before us in terms of a Supremacy Clause “cause of action.” Rather, I would ask whether “federal courts may in [these] circumstances grant injunctive </w:t>
      </w:r>
      <w:r w:rsidR="000F6DFA" w:rsidRPr="00916DEF">
        <w:rPr>
          <w:rFonts w:ascii="Palatino Linotype" w:hAnsi="Palatino Linotype" w:cs="Times New Roman"/>
          <w:sz w:val="20"/>
          <w:szCs w:val="20"/>
        </w:rPr>
        <w:t>relief against state officers who are violating, or planning to violate, federal law.” I believe the answer to this question is no.</w:t>
      </w:r>
    </w:p>
    <w:p w14:paraId="03D5C0F4" w14:textId="77777777" w:rsidR="000F6DFA" w:rsidRPr="00916DEF" w:rsidRDefault="000F6DFA" w:rsidP="00916DEF">
      <w:pPr>
        <w:ind w:firstLine="720"/>
        <w:jc w:val="both"/>
        <w:rPr>
          <w:rFonts w:ascii="Palatino Linotype" w:hAnsi="Palatino Linotype" w:cs="Times New Roman"/>
          <w:sz w:val="20"/>
          <w:szCs w:val="20"/>
        </w:rPr>
      </w:pPr>
      <w:r w:rsidRPr="00916DEF">
        <w:rPr>
          <w:rFonts w:ascii="Palatino Linotype" w:hAnsi="Palatino Linotype" w:cs="Times New Roman"/>
          <w:sz w:val="20"/>
          <w:szCs w:val="20"/>
        </w:rPr>
        <w:t>. . . .</w:t>
      </w:r>
    </w:p>
    <w:p w14:paraId="3A57F774" w14:textId="77777777" w:rsidR="0075479A" w:rsidRPr="00916DEF" w:rsidRDefault="0075479A" w:rsidP="00916DEF">
      <w:pPr>
        <w:ind w:firstLine="720"/>
        <w:jc w:val="both"/>
        <w:rPr>
          <w:rFonts w:ascii="Palatino Linotype" w:hAnsi="Palatino Linotype" w:cs="Times New Roman"/>
          <w:sz w:val="20"/>
          <w:szCs w:val="20"/>
        </w:rPr>
      </w:pPr>
    </w:p>
    <w:p w14:paraId="5BBCFA6D" w14:textId="77777777" w:rsidR="00337845" w:rsidRPr="00916DEF" w:rsidRDefault="00337845" w:rsidP="00916DEF">
      <w:pPr>
        <w:jc w:val="both"/>
        <w:rPr>
          <w:rFonts w:ascii="Palatino Linotype" w:hAnsi="Palatino Linotype" w:cs="Times New Roman"/>
          <w:sz w:val="20"/>
          <w:szCs w:val="20"/>
        </w:rPr>
      </w:pPr>
      <w:r w:rsidRPr="00916DEF">
        <w:rPr>
          <w:rFonts w:ascii="Palatino Linotype" w:hAnsi="Palatino Linotype" w:cs="Times New Roman"/>
          <w:sz w:val="20"/>
          <w:szCs w:val="20"/>
        </w:rPr>
        <w:t xml:space="preserve">JUSTICE </w:t>
      </w:r>
      <w:r w:rsidR="004B6AC4" w:rsidRPr="00916DEF">
        <w:rPr>
          <w:rFonts w:ascii="Palatino Linotype" w:hAnsi="Palatino Linotype" w:cs="Times New Roman"/>
          <w:sz w:val="20"/>
          <w:szCs w:val="20"/>
        </w:rPr>
        <w:t>SOTOMAYOR, with whom JUSTICES KENNEDY, GINSBURG, and KAGAN joined</w:t>
      </w:r>
      <w:r w:rsidRPr="00916DEF">
        <w:rPr>
          <w:rFonts w:ascii="Palatino Linotype" w:hAnsi="Palatino Linotype" w:cs="Times New Roman"/>
          <w:sz w:val="20"/>
          <w:szCs w:val="20"/>
        </w:rPr>
        <w:t xml:space="preserve">, </w:t>
      </w:r>
      <w:r w:rsidR="004B6AC4" w:rsidRPr="00916DEF">
        <w:rPr>
          <w:rFonts w:ascii="Palatino Linotype" w:hAnsi="Palatino Linotype" w:cs="Times New Roman"/>
          <w:sz w:val="20"/>
          <w:szCs w:val="20"/>
        </w:rPr>
        <w:t>dissenting</w:t>
      </w:r>
      <w:r w:rsidRPr="00916DEF">
        <w:rPr>
          <w:rFonts w:ascii="Palatino Linotype" w:hAnsi="Palatino Linotype" w:cs="Times New Roman"/>
          <w:sz w:val="20"/>
          <w:szCs w:val="20"/>
        </w:rPr>
        <w:t>.</w:t>
      </w:r>
    </w:p>
    <w:p w14:paraId="7BE006E7" w14:textId="77777777" w:rsidR="00C744D2" w:rsidRPr="00916DEF" w:rsidRDefault="000F6DFA" w:rsidP="00916DEF">
      <w:pPr>
        <w:ind w:firstLine="720"/>
        <w:jc w:val="both"/>
        <w:rPr>
          <w:rFonts w:ascii="Palatino Linotype" w:hAnsi="Palatino Linotype" w:cs="Times New Roman"/>
          <w:sz w:val="20"/>
          <w:szCs w:val="20"/>
        </w:rPr>
      </w:pPr>
      <w:r w:rsidRPr="00916DEF">
        <w:rPr>
          <w:rFonts w:ascii="Palatino Linotype" w:hAnsi="Palatino Linotype" w:cs="Times New Roman"/>
          <w:sz w:val="20"/>
          <w:szCs w:val="20"/>
        </w:rPr>
        <w:t>Suits in federal court to restrain state officials from executing laws that assertedly conflict with the Constitution or with a federal statute are not novel. To the contrary, this Court has adjudicated such requests for equitable relief since the early days of the Republic. Nevertheless, today the Court holds that Congress has foreclosed private parties from invoking the equitable powers of the federal courts to require states to comply with Section 30(A) of the Medicaid Act. It does so without pointing to the sorts of detailed remedial scheme we have previously deemed necessary to establish congressional intent to preclude resort to equity. . . . As I cannot agree that these statutory provisions demonstrate the requisite congressional intent to restrict the equitable authority of the federal courts. I respectfully dissent.</w:t>
      </w:r>
    </w:p>
    <w:p w14:paraId="5C75CDEB" w14:textId="77777777" w:rsidR="006F1AFB" w:rsidRPr="00916DEF" w:rsidRDefault="006F1AFB" w:rsidP="00916DEF">
      <w:pPr>
        <w:ind w:firstLine="720"/>
        <w:jc w:val="both"/>
        <w:rPr>
          <w:rFonts w:ascii="Palatino Linotype" w:hAnsi="Palatino Linotype" w:cs="Times New Roman"/>
          <w:sz w:val="20"/>
          <w:szCs w:val="20"/>
        </w:rPr>
      </w:pPr>
      <w:r w:rsidRPr="00916DEF">
        <w:rPr>
          <w:rFonts w:ascii="Palatino Linotype" w:hAnsi="Palatino Linotype" w:cs="Times New Roman"/>
          <w:sz w:val="20"/>
          <w:szCs w:val="20"/>
        </w:rPr>
        <w:t>. . . .</w:t>
      </w:r>
    </w:p>
    <w:p w14:paraId="2E698FE8" w14:textId="77777777" w:rsidR="006F1AFB" w:rsidRPr="00916DEF" w:rsidRDefault="006F1AFB" w:rsidP="00916DEF">
      <w:pPr>
        <w:ind w:firstLine="720"/>
        <w:jc w:val="both"/>
        <w:rPr>
          <w:rFonts w:ascii="Palatino Linotype" w:hAnsi="Palatino Linotype" w:cs="Times New Roman"/>
          <w:sz w:val="20"/>
          <w:szCs w:val="20"/>
        </w:rPr>
      </w:pPr>
      <w:r w:rsidRPr="00916DEF">
        <w:rPr>
          <w:rFonts w:ascii="Palatino Linotype" w:hAnsi="Palatino Linotype" w:cs="Times New Roman"/>
          <w:sz w:val="20"/>
          <w:szCs w:val="20"/>
        </w:rPr>
        <w:t>A suit, like this one, that seeks relief against state officials acting pursuant to a state law allegedly preempted by a federal statute falls comfortably within this doctrine</w:t>
      </w:r>
      <w:r w:rsidR="00CC1B90" w:rsidRPr="00916DEF">
        <w:rPr>
          <w:rFonts w:ascii="Palatino Linotype" w:hAnsi="Palatino Linotype" w:cs="Times New Roman"/>
          <w:sz w:val="20"/>
          <w:szCs w:val="20"/>
        </w:rPr>
        <w:t xml:space="preserve"> [that federal courts can enjoin unconstitutional government action]</w:t>
      </w:r>
      <w:r w:rsidRPr="00916DEF">
        <w:rPr>
          <w:rFonts w:ascii="Palatino Linotype" w:hAnsi="Palatino Linotype" w:cs="Times New Roman"/>
          <w:sz w:val="20"/>
          <w:szCs w:val="20"/>
        </w:rPr>
        <w:t xml:space="preserve">. A claim that a state law contravenes a federal statute is “basically constitutional in nature, deriving its force from the operation of the Supremacy Clause.” </w:t>
      </w:r>
      <w:r w:rsidRPr="00916DEF">
        <w:rPr>
          <w:rFonts w:ascii="Palatino Linotype" w:hAnsi="Palatino Linotype" w:cs="Times New Roman"/>
          <w:i/>
          <w:sz w:val="20"/>
          <w:szCs w:val="20"/>
        </w:rPr>
        <w:t>Douglas v. Seacoast Products, Inc</w:t>
      </w:r>
      <w:r w:rsidRPr="00916DEF">
        <w:rPr>
          <w:rFonts w:ascii="Palatino Linotype" w:hAnsi="Palatino Linotype" w:cs="Times New Roman"/>
          <w:sz w:val="20"/>
          <w:szCs w:val="20"/>
        </w:rPr>
        <w:t xml:space="preserve">. (1977), and the application of preempted state law is therefore “unconstitutional.” </w:t>
      </w:r>
      <w:r w:rsidRPr="00916DEF">
        <w:rPr>
          <w:rFonts w:ascii="Palatino Linotype" w:hAnsi="Palatino Linotype" w:cs="Times New Roman"/>
          <w:i/>
          <w:sz w:val="20"/>
          <w:szCs w:val="20"/>
        </w:rPr>
        <w:t>Crosby v. National Foreign Trade Council</w:t>
      </w:r>
      <w:r w:rsidRPr="00916DEF">
        <w:rPr>
          <w:rFonts w:ascii="Palatino Linotype" w:hAnsi="Palatino Linotype" w:cs="Times New Roman"/>
          <w:sz w:val="20"/>
          <w:szCs w:val="20"/>
        </w:rPr>
        <w:t xml:space="preserve"> (2000). We have thus long entertained suits in which a party seeks prospective equitable protection from an injurious and preempted state law without regard to whether the federal statute at issue itself provided a right to bring an action. . . . Indeed, for this reason, we have characterized “the availability of prospective relief of the sort awarded in </w:t>
      </w:r>
      <w:r w:rsidRPr="00916DEF">
        <w:rPr>
          <w:rFonts w:ascii="Palatino Linotype" w:hAnsi="Palatino Linotype" w:cs="Times New Roman"/>
          <w:i/>
          <w:sz w:val="20"/>
          <w:szCs w:val="20"/>
        </w:rPr>
        <w:t>Ex parte Young</w:t>
      </w:r>
      <w:r w:rsidRPr="00916DEF">
        <w:rPr>
          <w:rFonts w:ascii="Palatino Linotype" w:hAnsi="Palatino Linotype" w:cs="Times New Roman"/>
          <w:sz w:val="20"/>
          <w:szCs w:val="20"/>
        </w:rPr>
        <w:t xml:space="preserve">” as giving “life to the Supremacy Clause.” </w:t>
      </w:r>
      <w:r w:rsidRPr="00916DEF">
        <w:rPr>
          <w:rFonts w:ascii="Palatino Linotype" w:hAnsi="Palatino Linotype" w:cs="Times New Roman"/>
          <w:i/>
          <w:sz w:val="20"/>
          <w:szCs w:val="20"/>
        </w:rPr>
        <w:t>Green v. Mansour</w:t>
      </w:r>
      <w:r w:rsidRPr="00916DEF">
        <w:rPr>
          <w:rFonts w:ascii="Palatino Linotype" w:hAnsi="Palatino Linotype" w:cs="Times New Roman"/>
          <w:sz w:val="20"/>
          <w:szCs w:val="20"/>
        </w:rPr>
        <w:t xml:space="preserve"> (1985).</w:t>
      </w:r>
    </w:p>
    <w:p w14:paraId="22C28176" w14:textId="77777777" w:rsidR="006F1AFB" w:rsidRPr="00916DEF" w:rsidRDefault="006F1AFB" w:rsidP="00916DEF">
      <w:pPr>
        <w:ind w:firstLine="720"/>
        <w:jc w:val="both"/>
        <w:rPr>
          <w:rFonts w:ascii="Palatino Linotype" w:hAnsi="Palatino Linotype" w:cs="Times New Roman"/>
          <w:sz w:val="20"/>
          <w:szCs w:val="20"/>
        </w:rPr>
      </w:pPr>
      <w:r w:rsidRPr="00916DEF">
        <w:rPr>
          <w:rFonts w:ascii="Palatino Linotype" w:hAnsi="Palatino Linotype" w:cs="Times New Roman"/>
          <w:sz w:val="20"/>
          <w:szCs w:val="20"/>
        </w:rPr>
        <w:t xml:space="preserve">Thus, even though the Court is correct that is somewhat misleading to speak of “an implied right of action contained in the Supremacy Clause,” that does not mean that parties may not enforce the </w:t>
      </w:r>
      <w:r w:rsidRPr="00916DEF">
        <w:rPr>
          <w:rFonts w:ascii="Palatino Linotype" w:hAnsi="Palatino Linotype" w:cs="Times New Roman"/>
          <w:sz w:val="20"/>
          <w:szCs w:val="20"/>
        </w:rPr>
        <w:lastRenderedPageBreak/>
        <w:t>Supremacy Clause by bringing suit to enjoin preempted state action. As the Court also recognizes, we “have long held that federal courts may in some circumstances grant injunctive relief against state officers who are violating, or planning to violate, federal law.”</w:t>
      </w:r>
    </w:p>
    <w:p w14:paraId="1AED5EF7" w14:textId="77777777" w:rsidR="006F1AFB" w:rsidRPr="00916DEF" w:rsidRDefault="006F1AFB" w:rsidP="00916DEF">
      <w:pPr>
        <w:ind w:firstLine="720"/>
        <w:jc w:val="both"/>
        <w:rPr>
          <w:rFonts w:ascii="Palatino Linotype" w:hAnsi="Palatino Linotype" w:cs="Times New Roman"/>
          <w:sz w:val="20"/>
          <w:szCs w:val="20"/>
        </w:rPr>
      </w:pPr>
      <w:r w:rsidRPr="00916DEF">
        <w:rPr>
          <w:rFonts w:ascii="Palatino Linotype" w:hAnsi="Palatino Linotype" w:cs="Times New Roman"/>
          <w:sz w:val="20"/>
          <w:szCs w:val="20"/>
        </w:rPr>
        <w:t xml:space="preserve">Most important for purposes of this case is not the mere existence of this equitable authority, but the fact that it is exceedingly </w:t>
      </w:r>
      <w:r w:rsidR="00317133" w:rsidRPr="00916DEF">
        <w:rPr>
          <w:rFonts w:ascii="Palatino Linotype" w:hAnsi="Palatino Linotype" w:cs="Times New Roman"/>
          <w:sz w:val="20"/>
          <w:szCs w:val="20"/>
        </w:rPr>
        <w:t xml:space="preserve">well established – supported, as the Court puts it, by a “long history.” Congress may, if it so chooses, either expressly or implicitly preclude </w:t>
      </w:r>
      <w:r w:rsidR="00317133" w:rsidRPr="00916DEF">
        <w:rPr>
          <w:rFonts w:ascii="Palatino Linotype" w:hAnsi="Palatino Linotype" w:cs="Times New Roman"/>
          <w:i/>
          <w:sz w:val="20"/>
          <w:szCs w:val="20"/>
        </w:rPr>
        <w:t>Ex parte Young</w:t>
      </w:r>
      <w:r w:rsidR="00317133" w:rsidRPr="00916DEF">
        <w:rPr>
          <w:rFonts w:ascii="Palatino Linotype" w:hAnsi="Palatino Linotype" w:cs="Times New Roman"/>
          <w:sz w:val="20"/>
          <w:szCs w:val="20"/>
        </w:rPr>
        <w:t xml:space="preserve"> enforcement actions with respect to a particular statute or category of lawsuit. . . . But because Congress is undoubtedly aware of the federal courts’ long-established practice of enjoining preempted state action, it should generally be presumed to contemplate such enforcement unless it affirmatively manifests a contrary intent. . . .</w:t>
      </w:r>
    </w:p>
    <w:p w14:paraId="1F60EE11" w14:textId="77777777" w:rsidR="00317133" w:rsidRPr="00916DEF" w:rsidRDefault="00317133" w:rsidP="00916DEF">
      <w:pPr>
        <w:ind w:firstLine="720"/>
        <w:jc w:val="both"/>
        <w:rPr>
          <w:rFonts w:ascii="Palatino Linotype" w:hAnsi="Palatino Linotype" w:cs="Times New Roman"/>
          <w:sz w:val="20"/>
          <w:szCs w:val="20"/>
        </w:rPr>
      </w:pPr>
      <w:r w:rsidRPr="00916DEF">
        <w:rPr>
          <w:rFonts w:ascii="Palatino Linotype" w:hAnsi="Palatino Linotype" w:cs="Times New Roman"/>
          <w:sz w:val="20"/>
          <w:szCs w:val="20"/>
        </w:rPr>
        <w:t>. . . .</w:t>
      </w:r>
    </w:p>
    <w:sectPr w:rsidR="00317133" w:rsidRPr="00916DE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83388" w14:textId="77777777" w:rsidR="003F5E21" w:rsidRDefault="003F5E21" w:rsidP="00EB0FD0">
      <w:r>
        <w:separator/>
      </w:r>
    </w:p>
  </w:endnote>
  <w:endnote w:type="continuationSeparator" w:id="0">
    <w:p w14:paraId="58E01182" w14:textId="77777777" w:rsidR="003F5E21" w:rsidRDefault="003F5E21" w:rsidP="00EB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835157"/>
      <w:docPartObj>
        <w:docPartGallery w:val="Page Numbers (Bottom of Page)"/>
        <w:docPartUnique/>
      </w:docPartObj>
    </w:sdtPr>
    <w:sdtEndPr>
      <w:rPr>
        <w:noProof/>
      </w:rPr>
    </w:sdtEndPr>
    <w:sdtContent>
      <w:p w14:paraId="0859A7B1" w14:textId="319B2D36" w:rsidR="00EB0FD0" w:rsidRDefault="00EB0FD0">
        <w:pPr>
          <w:pStyle w:val="Footer"/>
          <w:jc w:val="center"/>
        </w:pPr>
        <w:r>
          <w:fldChar w:fldCharType="begin"/>
        </w:r>
        <w:r>
          <w:instrText xml:space="preserve"> PAGE   \* MERGEFORMAT </w:instrText>
        </w:r>
        <w:r>
          <w:fldChar w:fldCharType="separate"/>
        </w:r>
        <w:r w:rsidR="00AD3F95">
          <w:rPr>
            <w:noProof/>
          </w:rPr>
          <w:t>1</w:t>
        </w:r>
        <w:r>
          <w:rPr>
            <w:noProof/>
          </w:rPr>
          <w:fldChar w:fldCharType="end"/>
        </w:r>
      </w:p>
    </w:sdtContent>
  </w:sdt>
  <w:p w14:paraId="7282ECCB" w14:textId="77777777" w:rsidR="00EB0FD0" w:rsidRDefault="00EB0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05641" w14:textId="77777777" w:rsidR="003F5E21" w:rsidRDefault="003F5E21" w:rsidP="00EB0FD0">
      <w:r>
        <w:separator/>
      </w:r>
    </w:p>
  </w:footnote>
  <w:footnote w:type="continuationSeparator" w:id="0">
    <w:p w14:paraId="37B039B6" w14:textId="77777777" w:rsidR="003F5E21" w:rsidRDefault="003F5E21" w:rsidP="00EB0F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DEF"/>
    <w:rsid w:val="000319CB"/>
    <w:rsid w:val="000F6DFA"/>
    <w:rsid w:val="0013641E"/>
    <w:rsid w:val="00166B11"/>
    <w:rsid w:val="0018143D"/>
    <w:rsid w:val="001F4EE0"/>
    <w:rsid w:val="00215E2B"/>
    <w:rsid w:val="002C264D"/>
    <w:rsid w:val="00317133"/>
    <w:rsid w:val="00337845"/>
    <w:rsid w:val="00347C69"/>
    <w:rsid w:val="003609DE"/>
    <w:rsid w:val="003727F5"/>
    <w:rsid w:val="003E7139"/>
    <w:rsid w:val="003F5E21"/>
    <w:rsid w:val="00441215"/>
    <w:rsid w:val="00453494"/>
    <w:rsid w:val="00495DEF"/>
    <w:rsid w:val="004B6AC4"/>
    <w:rsid w:val="004F12C6"/>
    <w:rsid w:val="00522489"/>
    <w:rsid w:val="0055586A"/>
    <w:rsid w:val="005A4FEE"/>
    <w:rsid w:val="005C63D4"/>
    <w:rsid w:val="006212D6"/>
    <w:rsid w:val="0067514C"/>
    <w:rsid w:val="00683143"/>
    <w:rsid w:val="00685BF1"/>
    <w:rsid w:val="006B0274"/>
    <w:rsid w:val="006E43DB"/>
    <w:rsid w:val="006F1AFB"/>
    <w:rsid w:val="0075479A"/>
    <w:rsid w:val="007E2EFF"/>
    <w:rsid w:val="00825875"/>
    <w:rsid w:val="008B7FF1"/>
    <w:rsid w:val="008C4A24"/>
    <w:rsid w:val="00916DEF"/>
    <w:rsid w:val="009350D6"/>
    <w:rsid w:val="0097388D"/>
    <w:rsid w:val="00987836"/>
    <w:rsid w:val="009D6B42"/>
    <w:rsid w:val="00A20406"/>
    <w:rsid w:val="00A22D34"/>
    <w:rsid w:val="00A260AE"/>
    <w:rsid w:val="00A47215"/>
    <w:rsid w:val="00A77E0A"/>
    <w:rsid w:val="00AD3F95"/>
    <w:rsid w:val="00B077A8"/>
    <w:rsid w:val="00B37ACB"/>
    <w:rsid w:val="00B46036"/>
    <w:rsid w:val="00B85B98"/>
    <w:rsid w:val="00C011A6"/>
    <w:rsid w:val="00C045A2"/>
    <w:rsid w:val="00C04969"/>
    <w:rsid w:val="00C744D2"/>
    <w:rsid w:val="00C952B4"/>
    <w:rsid w:val="00CC1B90"/>
    <w:rsid w:val="00CC59BB"/>
    <w:rsid w:val="00CE1D55"/>
    <w:rsid w:val="00D325C4"/>
    <w:rsid w:val="00D723C5"/>
    <w:rsid w:val="00DA61B7"/>
    <w:rsid w:val="00E25046"/>
    <w:rsid w:val="00E52EC9"/>
    <w:rsid w:val="00E87153"/>
    <w:rsid w:val="00E91495"/>
    <w:rsid w:val="00E93898"/>
    <w:rsid w:val="00EA7512"/>
    <w:rsid w:val="00EB0FD0"/>
    <w:rsid w:val="00ED2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1D948A"/>
  <w15:docId w15:val="{CDD8FB2B-F58F-470F-98C6-E6317B815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FD0"/>
    <w:pPr>
      <w:tabs>
        <w:tab w:val="center" w:pos="4680"/>
        <w:tab w:val="right" w:pos="9360"/>
      </w:tabs>
    </w:pPr>
  </w:style>
  <w:style w:type="character" w:customStyle="1" w:styleId="HeaderChar">
    <w:name w:val="Header Char"/>
    <w:basedOn w:val="DefaultParagraphFont"/>
    <w:link w:val="Header"/>
    <w:uiPriority w:val="99"/>
    <w:rsid w:val="00EB0FD0"/>
  </w:style>
  <w:style w:type="paragraph" w:styleId="Footer">
    <w:name w:val="footer"/>
    <w:basedOn w:val="Normal"/>
    <w:link w:val="FooterChar"/>
    <w:uiPriority w:val="99"/>
    <w:unhideWhenUsed/>
    <w:rsid w:val="00EB0FD0"/>
    <w:pPr>
      <w:tabs>
        <w:tab w:val="center" w:pos="4680"/>
        <w:tab w:val="right" w:pos="9360"/>
      </w:tabs>
    </w:pPr>
  </w:style>
  <w:style w:type="character" w:customStyle="1" w:styleId="FooterChar">
    <w:name w:val="Footer Char"/>
    <w:basedOn w:val="DefaultParagraphFont"/>
    <w:link w:val="Footer"/>
    <w:uiPriority w:val="99"/>
    <w:rsid w:val="00EB0FD0"/>
  </w:style>
  <w:style w:type="character" w:styleId="Hyperlink">
    <w:name w:val="Hyperlink"/>
    <w:basedOn w:val="DefaultParagraphFont"/>
    <w:uiPriority w:val="99"/>
    <w:semiHidden/>
    <w:unhideWhenUsed/>
    <w:rsid w:val="00E938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1254</Words>
  <Characters>7153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2</cp:revision>
  <dcterms:created xsi:type="dcterms:W3CDTF">2018-07-26T01:31:00Z</dcterms:created>
  <dcterms:modified xsi:type="dcterms:W3CDTF">2018-07-26T01:31:00Z</dcterms:modified>
</cp:coreProperties>
</file>