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D03C0" w14:textId="77777777" w:rsidR="009A392E" w:rsidRDefault="009A392E" w:rsidP="009A392E">
      <w:pPr>
        <w:pStyle w:val="xIRMhead"/>
        <w:spacing w:before="840"/>
      </w:pPr>
      <w:r>
        <w:t xml:space="preserve">SAMPLE: </w:t>
      </w:r>
    </w:p>
    <w:p w14:paraId="06A458BE" w14:textId="45466E03" w:rsidR="002C0686" w:rsidRPr="009E4734" w:rsidRDefault="009A392E" w:rsidP="009A392E">
      <w:pPr>
        <w:pStyle w:val="xIRMhead"/>
        <w:spacing w:before="240"/>
      </w:pPr>
      <w:r>
        <w:t xml:space="preserve">Chapter 3 </w:t>
      </w:r>
      <w:r w:rsidR="00BB61BB">
        <w:t xml:space="preserve">Answer Guide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2"/>
        <w:gridCol w:w="5064"/>
      </w:tblGrid>
      <w:tr w:rsidR="002C0686" w:rsidRPr="009E4734" w14:paraId="7C2541E3" w14:textId="77777777" w:rsidTr="00156BF6">
        <w:tc>
          <w:tcPr>
            <w:tcW w:w="4219" w:type="dxa"/>
          </w:tcPr>
          <w:p w14:paraId="736E24ED" w14:textId="62857FD7" w:rsidR="002C0686" w:rsidRPr="009E4734" w:rsidRDefault="00257833">
            <w:pPr>
              <w:spacing w:before="0" w:after="200" w:line="276" w:lineRule="auto"/>
              <w:ind w:left="0" w:firstLine="0"/>
            </w:pPr>
            <w:r w:rsidRPr="009E4734">
              <w:rPr>
                <w:noProof/>
              </w:rPr>
              <w:drawing>
                <wp:inline distT="0" distB="0" distL="0" distR="0" wp14:anchorId="1C40EB19" wp14:editId="61B56E83">
                  <wp:extent cx="2088736" cy="301036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rstanding Health"/>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88736" cy="3010360"/>
                          </a:xfrm>
                          <a:prstGeom prst="rect">
                            <a:avLst/>
                          </a:prstGeom>
                          <a:noFill/>
                          <a:ln>
                            <a:noFill/>
                          </a:ln>
                        </pic:spPr>
                      </pic:pic>
                    </a:graphicData>
                  </a:graphic>
                </wp:inline>
              </w:drawing>
            </w:r>
          </w:p>
        </w:tc>
        <w:tc>
          <w:tcPr>
            <w:tcW w:w="6463" w:type="dxa"/>
          </w:tcPr>
          <w:p w14:paraId="671C241F" w14:textId="6AB1C04D" w:rsidR="002C0686" w:rsidRPr="009E4734" w:rsidRDefault="00633CD1" w:rsidP="00156BF6">
            <w:pPr>
              <w:pStyle w:val="xIRMbooktitle"/>
            </w:pPr>
            <w:r w:rsidRPr="009E4734">
              <w:t>Australian Constitutional Law</w:t>
            </w:r>
            <w:r w:rsidR="00BB61BB">
              <w:t xml:space="preserve">: Principles in Movement </w:t>
            </w:r>
          </w:p>
          <w:p w14:paraId="26FEDC98" w14:textId="224FA749" w:rsidR="00257833" w:rsidRPr="009E4734" w:rsidRDefault="00633CD1" w:rsidP="00156BF6">
            <w:pPr>
              <w:pStyle w:val="xIRMedition"/>
              <w:rPr>
                <w:i w:val="0"/>
              </w:rPr>
            </w:pPr>
            <w:r w:rsidRPr="009E4734">
              <w:rPr>
                <w:i w:val="0"/>
              </w:rPr>
              <w:t>Jonathan Crowe</w:t>
            </w:r>
          </w:p>
          <w:p w14:paraId="638B9022" w14:textId="50B1C442" w:rsidR="00185D96" w:rsidRPr="009E4734" w:rsidRDefault="00F76F61" w:rsidP="008576F8">
            <w:pPr>
              <w:pStyle w:val="xIRMedition"/>
            </w:pPr>
            <w:r w:rsidRPr="009E4734">
              <w:t>Discussion questions by Jonathan Crowe</w:t>
            </w:r>
            <w:r w:rsidR="008576F8">
              <w:t xml:space="preserve"> </w:t>
            </w:r>
          </w:p>
        </w:tc>
      </w:tr>
      <w:tr w:rsidR="00C65CAC" w:rsidRPr="009E4734" w14:paraId="5BEC4379" w14:textId="77777777" w:rsidTr="00C65CAC">
        <w:trPr>
          <w:trHeight w:val="3705"/>
        </w:trPr>
        <w:tc>
          <w:tcPr>
            <w:tcW w:w="10682" w:type="dxa"/>
            <w:gridSpan w:val="2"/>
          </w:tcPr>
          <w:p w14:paraId="3EDA689E" w14:textId="77777777" w:rsidR="00C65CAC" w:rsidRPr="009E4734" w:rsidRDefault="00C65CAC" w:rsidP="00A65A5E">
            <w:pPr>
              <w:pStyle w:val="xIRMbooktitle"/>
            </w:pPr>
          </w:p>
        </w:tc>
      </w:tr>
      <w:tr w:rsidR="002850AB" w:rsidRPr="009E4734" w14:paraId="6DEA9D50" w14:textId="77777777" w:rsidTr="00633CD1">
        <w:tc>
          <w:tcPr>
            <w:tcW w:w="10682" w:type="dxa"/>
            <w:gridSpan w:val="2"/>
          </w:tcPr>
          <w:p w14:paraId="527ED054" w14:textId="77777777" w:rsidR="002850AB" w:rsidRPr="009E4734" w:rsidRDefault="00641454" w:rsidP="0075414A">
            <w:pPr>
              <w:pStyle w:val="xcopyrightnotice"/>
              <w:rPr>
                <w:b/>
              </w:rPr>
            </w:pPr>
            <w:r w:rsidRPr="009E4734">
              <w:rPr>
                <w:b/>
              </w:rPr>
              <w:t>COPYRIGHT NOTICE</w:t>
            </w:r>
          </w:p>
          <w:p w14:paraId="23722B0F" w14:textId="75162FB4" w:rsidR="00641454" w:rsidRPr="009E4734" w:rsidRDefault="00641454" w:rsidP="0075414A">
            <w:pPr>
              <w:pStyle w:val="xcopyrightnotice"/>
            </w:pPr>
            <w:r w:rsidRPr="009E4734">
              <w:t xml:space="preserve">This </w:t>
            </w:r>
            <w:r w:rsidR="00AD5849" w:rsidRPr="009E4734">
              <w:t>resource is copyright Oxford University Press 202</w:t>
            </w:r>
            <w:r w:rsidR="00633CD1" w:rsidRPr="009E4734">
              <w:t>2</w:t>
            </w:r>
            <w:r w:rsidR="00CD0725" w:rsidRPr="009E4734">
              <w:t xml:space="preserve">. </w:t>
            </w:r>
            <w:r w:rsidR="00CD0725" w:rsidRPr="009E4734">
              <w:rPr>
                <w:lang w:eastAsia="en-AU"/>
              </w:rPr>
              <w:t>It is intended for use only by lecturers prescribing</w:t>
            </w:r>
            <w:r w:rsidR="00633CD1" w:rsidRPr="009E4734">
              <w:rPr>
                <w:lang w:eastAsia="en-AU"/>
              </w:rPr>
              <w:t xml:space="preserve"> </w:t>
            </w:r>
            <w:r w:rsidR="00633CD1" w:rsidRPr="009E4734">
              <w:rPr>
                <w:i/>
                <w:lang w:eastAsia="en-AU"/>
              </w:rPr>
              <w:t xml:space="preserve">Australian Constitutional Law </w:t>
            </w:r>
            <w:r w:rsidR="00CD0725" w:rsidRPr="009E4734">
              <w:rPr>
                <w:lang w:eastAsia="en-AU"/>
              </w:rPr>
              <w:t>in their courses and should not be distributed or copied for any other purpose or for use with any other text.</w:t>
            </w:r>
          </w:p>
        </w:tc>
      </w:tr>
    </w:tbl>
    <w:p w14:paraId="62E95C6F" w14:textId="2C8914BB" w:rsidR="002E3BCF" w:rsidRPr="009E4734" w:rsidRDefault="002E3BCF">
      <w:pPr>
        <w:spacing w:before="0" w:after="200" w:line="276" w:lineRule="auto"/>
        <w:ind w:left="0" w:firstLine="0"/>
        <w:rPr>
          <w:rFonts w:cs="Arial"/>
          <w:b/>
          <w:color w:val="808080" w:themeColor="background1" w:themeShade="80"/>
          <w:sz w:val="32"/>
        </w:rPr>
      </w:pPr>
      <w:r w:rsidRPr="009E4734">
        <w:br w:type="page"/>
      </w:r>
    </w:p>
    <w:p w14:paraId="30D24871" w14:textId="322B74CE" w:rsidR="00F76F61" w:rsidRPr="009E4734" w:rsidRDefault="00F76F61" w:rsidP="008C6C60">
      <w:pPr>
        <w:pStyle w:val="xahead"/>
      </w:pPr>
      <w:r w:rsidRPr="009E4734">
        <w:lastRenderedPageBreak/>
        <w:t xml:space="preserve">Chapter 3: Interpreting Legislative Powers </w:t>
      </w:r>
    </w:p>
    <w:p w14:paraId="344D2C2E" w14:textId="05192027" w:rsidR="00F76F61" w:rsidRPr="009E4734" w:rsidRDefault="00F76F61" w:rsidP="00F76F61">
      <w:pPr>
        <w:pStyle w:val="xpagereference"/>
        <w:rPr>
          <w:sz w:val="24"/>
        </w:rPr>
      </w:pPr>
      <w:r w:rsidRPr="009E4734">
        <w:t>Textbook pages 50-70</w:t>
      </w:r>
    </w:p>
    <w:p w14:paraId="290AD982" w14:textId="77777777" w:rsidR="00F76F61" w:rsidRPr="009E4734" w:rsidRDefault="00F76F61" w:rsidP="00F76F61">
      <w:pPr>
        <w:pStyle w:val="xbhead"/>
      </w:pPr>
      <w:r w:rsidRPr="009E4734">
        <w:t xml:space="preserve">Question 1 </w:t>
      </w:r>
    </w:p>
    <w:p w14:paraId="446A0CC6" w14:textId="77A526DB" w:rsidR="00B615E6" w:rsidRDefault="00F76F61" w:rsidP="009D5130">
      <w:pPr>
        <w:pStyle w:val="Default"/>
        <w:numPr>
          <w:ilvl w:val="0"/>
          <w:numId w:val="1"/>
        </w:numPr>
        <w:spacing w:line="276" w:lineRule="auto"/>
        <w:jc w:val="both"/>
        <w:rPr>
          <w:color w:val="auto"/>
          <w:sz w:val="22"/>
          <w:szCs w:val="22"/>
        </w:rPr>
      </w:pPr>
      <w:r w:rsidRPr="009E4734">
        <w:rPr>
          <w:color w:val="auto"/>
          <w:sz w:val="22"/>
          <w:szCs w:val="22"/>
        </w:rPr>
        <w:t xml:space="preserve">How does the Australian Constitution divide legislative powers between the Commonwealth and the states? </w:t>
      </w:r>
    </w:p>
    <w:p w14:paraId="6F9A2D23" w14:textId="77777777" w:rsidR="00B615E6" w:rsidRDefault="00F76F61" w:rsidP="009D5130">
      <w:pPr>
        <w:pStyle w:val="Default"/>
        <w:numPr>
          <w:ilvl w:val="0"/>
          <w:numId w:val="1"/>
        </w:numPr>
        <w:spacing w:line="276" w:lineRule="auto"/>
        <w:jc w:val="both"/>
        <w:rPr>
          <w:color w:val="auto"/>
          <w:sz w:val="22"/>
          <w:szCs w:val="22"/>
        </w:rPr>
      </w:pPr>
      <w:r w:rsidRPr="009E4734">
        <w:rPr>
          <w:color w:val="auto"/>
          <w:sz w:val="22"/>
          <w:szCs w:val="22"/>
        </w:rPr>
        <w:t>What is the process for determining whether a statute falls within the power of the Commonwealth Parliament?</w:t>
      </w:r>
    </w:p>
    <w:p w14:paraId="6188097D" w14:textId="50C1CCAD" w:rsidR="00F76F61" w:rsidRDefault="00F76F61" w:rsidP="009D5130">
      <w:pPr>
        <w:pStyle w:val="Default"/>
        <w:numPr>
          <w:ilvl w:val="0"/>
          <w:numId w:val="1"/>
        </w:numPr>
        <w:spacing w:line="276" w:lineRule="auto"/>
        <w:jc w:val="both"/>
        <w:rPr>
          <w:color w:val="auto"/>
          <w:sz w:val="22"/>
          <w:szCs w:val="22"/>
        </w:rPr>
      </w:pPr>
      <w:r w:rsidRPr="00B615E6">
        <w:rPr>
          <w:color w:val="auto"/>
          <w:sz w:val="22"/>
          <w:szCs w:val="22"/>
        </w:rPr>
        <w:t>How is this different from the process for assessing the validity of a state law?</w:t>
      </w:r>
    </w:p>
    <w:p w14:paraId="35D5F2F2" w14:textId="6BD60F8B" w:rsidR="008A1DFB" w:rsidRDefault="008A1DFB" w:rsidP="008A1DFB">
      <w:pPr>
        <w:pStyle w:val="Default"/>
        <w:spacing w:line="276" w:lineRule="auto"/>
        <w:jc w:val="both"/>
        <w:rPr>
          <w:color w:val="auto"/>
          <w:sz w:val="22"/>
          <w:szCs w:val="22"/>
        </w:rPr>
      </w:pPr>
    </w:p>
    <w:p w14:paraId="445F0E17" w14:textId="77777777" w:rsidR="008A1DFB" w:rsidRPr="008A1DFB" w:rsidRDefault="008A1DFB" w:rsidP="009D5130">
      <w:pPr>
        <w:pStyle w:val="Default"/>
        <w:numPr>
          <w:ilvl w:val="0"/>
          <w:numId w:val="6"/>
        </w:numPr>
        <w:spacing w:line="276" w:lineRule="auto"/>
        <w:jc w:val="both"/>
        <w:rPr>
          <w:i/>
          <w:color w:val="002060"/>
          <w:sz w:val="22"/>
          <w:szCs w:val="22"/>
        </w:rPr>
      </w:pPr>
      <w:r w:rsidRPr="008A1DFB">
        <w:rPr>
          <w:i/>
          <w:color w:val="002060"/>
          <w:sz w:val="22"/>
          <w:szCs w:val="22"/>
        </w:rPr>
        <w:t>See the discussion at pp 50-3 of the textbook. The Commonwealth and state parliaments each have their own areas of power under the Australian Constitution. These powers fall into three categories: exclusive powers, concurrent powers and residual powers.</w:t>
      </w:r>
    </w:p>
    <w:p w14:paraId="0DAC6366" w14:textId="77777777" w:rsidR="008A1DFB" w:rsidRPr="008A1DFB" w:rsidRDefault="008A1DFB" w:rsidP="009D5130">
      <w:pPr>
        <w:pStyle w:val="Default"/>
        <w:numPr>
          <w:ilvl w:val="1"/>
          <w:numId w:val="6"/>
        </w:numPr>
        <w:spacing w:line="276" w:lineRule="auto"/>
        <w:jc w:val="both"/>
        <w:rPr>
          <w:i/>
          <w:color w:val="002060"/>
          <w:sz w:val="22"/>
          <w:szCs w:val="22"/>
        </w:rPr>
      </w:pPr>
      <w:r w:rsidRPr="008A1DFB">
        <w:rPr>
          <w:i/>
          <w:color w:val="002060"/>
          <w:sz w:val="22"/>
          <w:szCs w:val="22"/>
        </w:rPr>
        <w:t xml:space="preserve">Two main questions arise in assessing the validity of state and Commonwealth laws. The first question is whether the legislation is within the power of the parliament that enacted it. A distinction must be drawn here between the Commonwealth, which relies upon enumerated powers, and the states, which enjoy residual powers. </w:t>
      </w:r>
    </w:p>
    <w:p w14:paraId="296DE7C5" w14:textId="77777777" w:rsidR="008A1DFB" w:rsidRPr="008A1DFB" w:rsidRDefault="008A1DFB" w:rsidP="009D5130">
      <w:pPr>
        <w:pStyle w:val="Default"/>
        <w:numPr>
          <w:ilvl w:val="2"/>
          <w:numId w:val="6"/>
        </w:numPr>
        <w:spacing w:line="276" w:lineRule="auto"/>
        <w:jc w:val="both"/>
        <w:rPr>
          <w:i/>
          <w:color w:val="002060"/>
          <w:sz w:val="22"/>
          <w:szCs w:val="22"/>
        </w:rPr>
      </w:pPr>
      <w:r w:rsidRPr="008A1DFB">
        <w:rPr>
          <w:i/>
          <w:color w:val="002060"/>
          <w:sz w:val="22"/>
          <w:szCs w:val="22"/>
        </w:rPr>
        <w:t xml:space="preserve">To be valid, a Commonwealth law must fall within one of the powers given to the Commonwealth in the Constitution. The constitutionality of Commonwealth legislation can be assessed using a three-step process. The first step is to identify the legislation’s subject matter. This is known as </w:t>
      </w:r>
      <w:r w:rsidRPr="0029078B">
        <w:rPr>
          <w:iCs/>
          <w:color w:val="002060"/>
          <w:sz w:val="22"/>
          <w:szCs w:val="22"/>
        </w:rPr>
        <w:t>characterising</w:t>
      </w:r>
      <w:r w:rsidRPr="008A1DFB">
        <w:rPr>
          <w:i/>
          <w:iCs/>
          <w:color w:val="002060"/>
          <w:sz w:val="22"/>
          <w:szCs w:val="22"/>
        </w:rPr>
        <w:t xml:space="preserve"> </w:t>
      </w:r>
      <w:r w:rsidRPr="008A1DFB">
        <w:rPr>
          <w:i/>
          <w:color w:val="002060"/>
          <w:sz w:val="22"/>
          <w:szCs w:val="22"/>
        </w:rPr>
        <w:t xml:space="preserve">the law. The second step is to identify the constitutional head of power that potentially supports the law (most often found in s 51) and determine its scope. The third step is to ask whether the legislation is sufficiently related to a head of power to count as a law ‘with respect to’ it. </w:t>
      </w:r>
    </w:p>
    <w:p w14:paraId="78612E61" w14:textId="77777777" w:rsidR="008A1DFB" w:rsidRPr="008A1DFB" w:rsidRDefault="008A1DFB" w:rsidP="009D5130">
      <w:pPr>
        <w:pStyle w:val="Default"/>
        <w:numPr>
          <w:ilvl w:val="2"/>
          <w:numId w:val="6"/>
        </w:numPr>
        <w:spacing w:line="276" w:lineRule="auto"/>
        <w:jc w:val="both"/>
        <w:rPr>
          <w:i/>
          <w:color w:val="002060"/>
          <w:sz w:val="22"/>
          <w:szCs w:val="22"/>
        </w:rPr>
      </w:pPr>
      <w:r w:rsidRPr="008A1DFB">
        <w:rPr>
          <w:i/>
          <w:color w:val="002060"/>
          <w:sz w:val="22"/>
          <w:szCs w:val="22"/>
        </w:rPr>
        <w:t>The states, by contrast, have plenary powers (meaning general powers to make laws for the ‘peace, welfare and good government’ of the state). These powers are not limited by subject matter.</w:t>
      </w:r>
    </w:p>
    <w:p w14:paraId="433D39D2" w14:textId="77777777" w:rsidR="008A1DFB" w:rsidRPr="008A1DFB" w:rsidRDefault="008A1DFB" w:rsidP="009D5130">
      <w:pPr>
        <w:pStyle w:val="Default"/>
        <w:numPr>
          <w:ilvl w:val="1"/>
          <w:numId w:val="6"/>
        </w:numPr>
        <w:spacing w:line="276" w:lineRule="auto"/>
        <w:jc w:val="both"/>
        <w:rPr>
          <w:i/>
          <w:color w:val="002060"/>
          <w:sz w:val="22"/>
          <w:szCs w:val="22"/>
        </w:rPr>
      </w:pPr>
      <w:r w:rsidRPr="008A1DFB">
        <w:rPr>
          <w:i/>
          <w:color w:val="002060"/>
          <w:sz w:val="22"/>
          <w:szCs w:val="22"/>
        </w:rPr>
        <w:t xml:space="preserve">The second question that arises in evaluating legislation is whether the law violates any constitutional prohibitions or immunities. A law may be within the subject matter power of the parliament that enacted </w:t>
      </w:r>
      <w:proofErr w:type="gramStart"/>
      <w:r w:rsidRPr="008A1DFB">
        <w:rPr>
          <w:i/>
          <w:color w:val="002060"/>
          <w:sz w:val="22"/>
          <w:szCs w:val="22"/>
        </w:rPr>
        <w:t>it, but</w:t>
      </w:r>
      <w:proofErr w:type="gramEnd"/>
      <w:r w:rsidRPr="008A1DFB">
        <w:rPr>
          <w:i/>
          <w:color w:val="002060"/>
          <w:sz w:val="22"/>
          <w:szCs w:val="22"/>
        </w:rPr>
        <w:t xml:space="preserve"> be unconstitutional if it violates some other aspect of the Constitution.</w:t>
      </w:r>
    </w:p>
    <w:p w14:paraId="1EE00D6D" w14:textId="77777777" w:rsidR="008A1DFB" w:rsidRPr="008A1DFB" w:rsidRDefault="008A1DFB" w:rsidP="009D5130">
      <w:pPr>
        <w:pStyle w:val="Default"/>
        <w:numPr>
          <w:ilvl w:val="2"/>
          <w:numId w:val="6"/>
        </w:numPr>
        <w:spacing w:line="276" w:lineRule="auto"/>
        <w:jc w:val="both"/>
        <w:rPr>
          <w:i/>
          <w:color w:val="002060"/>
          <w:sz w:val="22"/>
          <w:szCs w:val="22"/>
        </w:rPr>
      </w:pPr>
      <w:r w:rsidRPr="008A1DFB">
        <w:rPr>
          <w:i/>
          <w:color w:val="002060"/>
          <w:sz w:val="22"/>
          <w:szCs w:val="22"/>
        </w:rPr>
        <w:t>For state laws, this includes assessing issues of inconsistency with Commonwealth legislation under s 109.</w:t>
      </w:r>
    </w:p>
    <w:p w14:paraId="0E1F3B57" w14:textId="77777777" w:rsidR="008A1DFB" w:rsidRPr="00B615E6" w:rsidRDefault="008A1DFB" w:rsidP="008A1DFB">
      <w:pPr>
        <w:pStyle w:val="Default"/>
        <w:spacing w:line="276" w:lineRule="auto"/>
        <w:jc w:val="both"/>
        <w:rPr>
          <w:color w:val="auto"/>
          <w:sz w:val="22"/>
          <w:szCs w:val="22"/>
        </w:rPr>
      </w:pPr>
    </w:p>
    <w:p w14:paraId="627474A4" w14:textId="77777777" w:rsidR="00F76F61" w:rsidRPr="009E4734" w:rsidRDefault="00F76F61" w:rsidP="006233EB">
      <w:pPr>
        <w:pStyle w:val="xbhead"/>
      </w:pPr>
      <w:r w:rsidRPr="009E4734">
        <w:t>Question 2</w:t>
      </w:r>
    </w:p>
    <w:p w14:paraId="43370726" w14:textId="77777777" w:rsidR="00B615E6" w:rsidRDefault="00F76F61" w:rsidP="009D5130">
      <w:pPr>
        <w:pStyle w:val="Default"/>
        <w:numPr>
          <w:ilvl w:val="0"/>
          <w:numId w:val="2"/>
        </w:numPr>
        <w:spacing w:line="276" w:lineRule="auto"/>
        <w:jc w:val="both"/>
        <w:rPr>
          <w:color w:val="auto"/>
          <w:sz w:val="22"/>
          <w:szCs w:val="22"/>
        </w:rPr>
      </w:pPr>
      <w:r w:rsidRPr="009E4734">
        <w:rPr>
          <w:color w:val="auto"/>
          <w:sz w:val="22"/>
          <w:szCs w:val="22"/>
        </w:rPr>
        <w:t xml:space="preserve">What impact has the </w:t>
      </w:r>
      <w:r w:rsidRPr="0024459C">
        <w:rPr>
          <w:i/>
          <w:iCs/>
          <w:color w:val="auto"/>
          <w:sz w:val="22"/>
          <w:szCs w:val="22"/>
        </w:rPr>
        <w:t>Engineers’ Case</w:t>
      </w:r>
      <w:r w:rsidRPr="009E4734">
        <w:rPr>
          <w:color w:val="auto"/>
          <w:sz w:val="22"/>
          <w:szCs w:val="22"/>
        </w:rPr>
        <w:t xml:space="preserve"> (1920) 28 CLR 129 had on the balance of power between the Commonwealth and the states? </w:t>
      </w:r>
    </w:p>
    <w:p w14:paraId="5A103ADE" w14:textId="03C1F740" w:rsidR="00F76F61" w:rsidRPr="009E4734" w:rsidRDefault="00F76F61" w:rsidP="009D5130">
      <w:pPr>
        <w:pStyle w:val="Default"/>
        <w:numPr>
          <w:ilvl w:val="0"/>
          <w:numId w:val="2"/>
        </w:numPr>
        <w:spacing w:line="276" w:lineRule="auto"/>
        <w:jc w:val="both"/>
        <w:rPr>
          <w:color w:val="auto"/>
          <w:sz w:val="22"/>
          <w:szCs w:val="22"/>
        </w:rPr>
      </w:pPr>
      <w:r w:rsidRPr="009E4734">
        <w:rPr>
          <w:color w:val="auto"/>
          <w:sz w:val="22"/>
          <w:szCs w:val="22"/>
        </w:rPr>
        <w:t xml:space="preserve">Has the case had positive or negative consequences overall for constitutional government in Australia? </w:t>
      </w:r>
    </w:p>
    <w:p w14:paraId="3BAF422C" w14:textId="1E3F86B4" w:rsidR="00F76F61" w:rsidRDefault="00F76F61" w:rsidP="00F76F61">
      <w:pPr>
        <w:pStyle w:val="Default"/>
        <w:spacing w:line="276" w:lineRule="auto"/>
        <w:jc w:val="both"/>
        <w:rPr>
          <w:color w:val="auto"/>
          <w:sz w:val="22"/>
          <w:szCs w:val="22"/>
        </w:rPr>
      </w:pPr>
    </w:p>
    <w:p w14:paraId="2A6CD57D" w14:textId="76E8E15D" w:rsidR="005932CA" w:rsidRPr="005932CA" w:rsidRDefault="005932CA" w:rsidP="009D5130">
      <w:pPr>
        <w:pStyle w:val="Default"/>
        <w:numPr>
          <w:ilvl w:val="0"/>
          <w:numId w:val="10"/>
        </w:numPr>
        <w:spacing w:line="276" w:lineRule="auto"/>
        <w:jc w:val="both"/>
        <w:rPr>
          <w:i/>
          <w:color w:val="002060"/>
          <w:sz w:val="22"/>
          <w:szCs w:val="22"/>
        </w:rPr>
      </w:pPr>
      <w:r w:rsidRPr="005932CA">
        <w:rPr>
          <w:i/>
          <w:color w:val="002060"/>
          <w:sz w:val="22"/>
          <w:szCs w:val="22"/>
        </w:rPr>
        <w:lastRenderedPageBreak/>
        <w:t xml:space="preserve">The </w:t>
      </w:r>
      <w:r w:rsidRPr="005932CA">
        <w:rPr>
          <w:iCs/>
          <w:color w:val="002060"/>
          <w:sz w:val="22"/>
          <w:szCs w:val="22"/>
        </w:rPr>
        <w:t>Engineers</w:t>
      </w:r>
      <w:r w:rsidR="00AC4803">
        <w:rPr>
          <w:iCs/>
          <w:color w:val="002060"/>
          <w:sz w:val="22"/>
          <w:szCs w:val="22"/>
        </w:rPr>
        <w:t>’</w:t>
      </w:r>
      <w:r w:rsidRPr="005932CA">
        <w:rPr>
          <w:iCs/>
          <w:color w:val="002060"/>
          <w:sz w:val="22"/>
          <w:szCs w:val="22"/>
        </w:rPr>
        <w:t xml:space="preserve"> Case</w:t>
      </w:r>
      <w:r w:rsidRPr="005932CA">
        <w:rPr>
          <w:i/>
          <w:iCs/>
          <w:color w:val="002060"/>
          <w:sz w:val="22"/>
          <w:szCs w:val="22"/>
        </w:rPr>
        <w:t xml:space="preserve"> </w:t>
      </w:r>
      <w:r w:rsidRPr="005932CA">
        <w:rPr>
          <w:i/>
          <w:color w:val="002060"/>
          <w:sz w:val="22"/>
          <w:szCs w:val="22"/>
        </w:rPr>
        <w:t xml:space="preserve">concerned a union award for engineers that was endorsed by a Commonwealth industrial relations tribunal. The question arose as to whether the award was binding on the states as employers. </w:t>
      </w:r>
    </w:p>
    <w:p w14:paraId="2C46D5E2" w14:textId="77777777" w:rsidR="005932CA" w:rsidRPr="005932CA" w:rsidRDefault="005932CA" w:rsidP="009D5130">
      <w:pPr>
        <w:pStyle w:val="Default"/>
        <w:numPr>
          <w:ilvl w:val="1"/>
          <w:numId w:val="10"/>
        </w:numPr>
        <w:spacing w:line="276" w:lineRule="auto"/>
        <w:jc w:val="both"/>
        <w:rPr>
          <w:i/>
          <w:color w:val="002060"/>
          <w:sz w:val="22"/>
          <w:szCs w:val="22"/>
        </w:rPr>
      </w:pPr>
      <w:r w:rsidRPr="005932CA">
        <w:rPr>
          <w:i/>
          <w:color w:val="002060"/>
          <w:sz w:val="22"/>
          <w:szCs w:val="22"/>
        </w:rPr>
        <w:t>One issue was whether the award was supported by the arbitration power in s 51 (xxxv). On the face of it, the law was supported by the power. However, the question arose whether the power should be limited to preserve the autonomy and powers of the states.</w:t>
      </w:r>
    </w:p>
    <w:p w14:paraId="3487FECB" w14:textId="77777777" w:rsidR="005932CA" w:rsidRPr="005932CA" w:rsidRDefault="005932CA" w:rsidP="009D5130">
      <w:pPr>
        <w:pStyle w:val="Default"/>
        <w:numPr>
          <w:ilvl w:val="0"/>
          <w:numId w:val="10"/>
        </w:numPr>
        <w:spacing w:line="276" w:lineRule="auto"/>
        <w:jc w:val="both"/>
        <w:rPr>
          <w:i/>
          <w:color w:val="002060"/>
          <w:sz w:val="22"/>
          <w:szCs w:val="22"/>
        </w:rPr>
      </w:pPr>
      <w:r w:rsidRPr="005932CA">
        <w:rPr>
          <w:i/>
          <w:color w:val="002060"/>
          <w:sz w:val="22"/>
          <w:szCs w:val="22"/>
        </w:rPr>
        <w:t xml:space="preserve">The High Court in </w:t>
      </w:r>
      <w:r w:rsidRPr="005932CA">
        <w:rPr>
          <w:iCs/>
          <w:color w:val="002060"/>
          <w:sz w:val="22"/>
          <w:szCs w:val="22"/>
        </w:rPr>
        <w:t>Engineers</w:t>
      </w:r>
      <w:r w:rsidRPr="005932CA">
        <w:rPr>
          <w:i/>
          <w:color w:val="002060"/>
          <w:sz w:val="22"/>
          <w:szCs w:val="22"/>
        </w:rPr>
        <w:t xml:space="preserve"> rejected the idea of implied limitations on Commonwealth powers arising from the ‘reserved powers’ of the states. Rather, Commonwealth powers are to be read in a plenary fashion and given their widest possible effect.</w:t>
      </w:r>
    </w:p>
    <w:p w14:paraId="6046745B" w14:textId="77777777" w:rsidR="005932CA" w:rsidRPr="005932CA" w:rsidRDefault="005932CA" w:rsidP="009D5130">
      <w:pPr>
        <w:pStyle w:val="Default"/>
        <w:numPr>
          <w:ilvl w:val="0"/>
          <w:numId w:val="10"/>
        </w:numPr>
        <w:spacing w:line="276" w:lineRule="auto"/>
        <w:jc w:val="both"/>
        <w:rPr>
          <w:i/>
          <w:color w:val="002060"/>
          <w:sz w:val="22"/>
          <w:szCs w:val="22"/>
        </w:rPr>
      </w:pPr>
      <w:r w:rsidRPr="005932CA">
        <w:rPr>
          <w:i/>
          <w:color w:val="002060"/>
          <w:sz w:val="22"/>
          <w:szCs w:val="22"/>
        </w:rPr>
        <w:t xml:space="preserve">This view of Commonwealth powers heralded a new approach to characterisation. The High Court would no longer enquire into the dominant or true subject matter of a law. Rather, it would ask whether there is a reasonable </w:t>
      </w:r>
      <w:proofErr w:type="spellStart"/>
      <w:r w:rsidRPr="005932CA">
        <w:rPr>
          <w:i/>
          <w:color w:val="002060"/>
          <w:sz w:val="22"/>
          <w:szCs w:val="22"/>
        </w:rPr>
        <w:t>chararacterisation</w:t>
      </w:r>
      <w:proofErr w:type="spellEnd"/>
      <w:r w:rsidRPr="005932CA">
        <w:rPr>
          <w:i/>
          <w:color w:val="002060"/>
          <w:sz w:val="22"/>
          <w:szCs w:val="22"/>
        </w:rPr>
        <w:t xml:space="preserve"> of the law that places it within a Commonwealth head of power.</w:t>
      </w:r>
    </w:p>
    <w:p w14:paraId="09EAB342" w14:textId="77777777" w:rsidR="005932CA" w:rsidRPr="005932CA" w:rsidRDefault="005932CA" w:rsidP="009D5130">
      <w:pPr>
        <w:pStyle w:val="Default"/>
        <w:numPr>
          <w:ilvl w:val="1"/>
          <w:numId w:val="10"/>
        </w:numPr>
        <w:spacing w:line="276" w:lineRule="auto"/>
        <w:jc w:val="both"/>
        <w:rPr>
          <w:i/>
          <w:color w:val="002060"/>
          <w:sz w:val="22"/>
          <w:szCs w:val="22"/>
        </w:rPr>
      </w:pPr>
      <w:r w:rsidRPr="005932CA">
        <w:rPr>
          <w:i/>
          <w:color w:val="002060"/>
          <w:sz w:val="22"/>
          <w:szCs w:val="22"/>
        </w:rPr>
        <w:t>In other words, the High Court shifted from ‘dominant characterisation’ to ‘multiple characterisation’.</w:t>
      </w:r>
    </w:p>
    <w:p w14:paraId="0BEBA98C" w14:textId="2DE2A1AC" w:rsidR="005932CA" w:rsidRPr="005932CA" w:rsidRDefault="005932CA" w:rsidP="009D5130">
      <w:pPr>
        <w:pStyle w:val="Default"/>
        <w:numPr>
          <w:ilvl w:val="0"/>
          <w:numId w:val="10"/>
        </w:numPr>
        <w:spacing w:line="276" w:lineRule="auto"/>
        <w:jc w:val="both"/>
        <w:rPr>
          <w:i/>
          <w:color w:val="002060"/>
          <w:sz w:val="22"/>
          <w:szCs w:val="22"/>
        </w:rPr>
      </w:pPr>
      <w:proofErr w:type="gramStart"/>
      <w:r w:rsidRPr="005932CA">
        <w:rPr>
          <w:i/>
          <w:color w:val="002060"/>
          <w:sz w:val="22"/>
          <w:szCs w:val="22"/>
        </w:rPr>
        <w:t>The majority</w:t>
      </w:r>
      <w:r w:rsidR="000015E2">
        <w:rPr>
          <w:i/>
          <w:color w:val="002060"/>
          <w:sz w:val="22"/>
          <w:szCs w:val="22"/>
        </w:rPr>
        <w:t xml:space="preserve"> of</w:t>
      </w:r>
      <w:proofErr w:type="gramEnd"/>
      <w:r w:rsidRPr="005932CA">
        <w:rPr>
          <w:i/>
          <w:color w:val="002060"/>
          <w:sz w:val="22"/>
          <w:szCs w:val="22"/>
        </w:rPr>
        <w:t xml:space="preserve"> judges held that s 51 must be interpreted using two guiding principles: the sovereignty of the Imperial Parliament and the doctrine of responsible government. These principles dictate a broad and expansive interpretation of federal powers. It up to responsible government to keep power in check.</w:t>
      </w:r>
    </w:p>
    <w:p w14:paraId="6AD406AC" w14:textId="77777777" w:rsidR="005932CA" w:rsidRPr="005932CA" w:rsidRDefault="005932CA" w:rsidP="009D5130">
      <w:pPr>
        <w:pStyle w:val="Default"/>
        <w:numPr>
          <w:ilvl w:val="1"/>
          <w:numId w:val="10"/>
        </w:numPr>
        <w:spacing w:line="276" w:lineRule="auto"/>
        <w:jc w:val="both"/>
        <w:rPr>
          <w:i/>
          <w:color w:val="002060"/>
          <w:sz w:val="22"/>
          <w:szCs w:val="22"/>
        </w:rPr>
      </w:pPr>
      <w:r w:rsidRPr="005932CA">
        <w:rPr>
          <w:i/>
          <w:color w:val="002060"/>
          <w:sz w:val="22"/>
          <w:szCs w:val="22"/>
        </w:rPr>
        <w:t xml:space="preserve">It follows that the Commonwealth arbitration power in s 51(xxxv) should be read literally, as covering </w:t>
      </w:r>
      <w:r w:rsidRPr="005932CA">
        <w:rPr>
          <w:iCs/>
          <w:color w:val="002060"/>
          <w:sz w:val="22"/>
          <w:szCs w:val="22"/>
        </w:rPr>
        <w:t>all</w:t>
      </w:r>
      <w:r w:rsidRPr="005932CA">
        <w:rPr>
          <w:i/>
          <w:color w:val="002060"/>
          <w:sz w:val="22"/>
          <w:szCs w:val="22"/>
        </w:rPr>
        <w:t xml:space="preserve"> disputes extending across state borders. This includes disputes involving the states as employers.</w:t>
      </w:r>
    </w:p>
    <w:p w14:paraId="6310D1C5" w14:textId="5DB19A7D" w:rsidR="005932CA" w:rsidRPr="005932CA" w:rsidRDefault="005932CA" w:rsidP="009D5130">
      <w:pPr>
        <w:pStyle w:val="Default"/>
        <w:numPr>
          <w:ilvl w:val="0"/>
          <w:numId w:val="10"/>
        </w:numPr>
        <w:spacing w:line="276" w:lineRule="auto"/>
        <w:jc w:val="both"/>
        <w:rPr>
          <w:i/>
          <w:color w:val="002060"/>
          <w:sz w:val="22"/>
          <w:szCs w:val="22"/>
        </w:rPr>
      </w:pPr>
      <w:r w:rsidRPr="005932CA">
        <w:rPr>
          <w:i/>
          <w:color w:val="002060"/>
          <w:sz w:val="22"/>
          <w:szCs w:val="22"/>
        </w:rPr>
        <w:t xml:space="preserve">The effect of the </w:t>
      </w:r>
      <w:r w:rsidRPr="005932CA">
        <w:rPr>
          <w:color w:val="002060"/>
          <w:sz w:val="22"/>
          <w:szCs w:val="22"/>
        </w:rPr>
        <w:t>Engineers</w:t>
      </w:r>
      <w:r w:rsidR="00AC4803">
        <w:rPr>
          <w:color w:val="002060"/>
          <w:sz w:val="22"/>
          <w:szCs w:val="22"/>
        </w:rPr>
        <w:t>’</w:t>
      </w:r>
      <w:r w:rsidRPr="005932CA">
        <w:rPr>
          <w:color w:val="002060"/>
          <w:sz w:val="22"/>
          <w:szCs w:val="22"/>
        </w:rPr>
        <w:t xml:space="preserve"> Case</w:t>
      </w:r>
      <w:r w:rsidRPr="005932CA">
        <w:rPr>
          <w:i/>
          <w:color w:val="002060"/>
          <w:sz w:val="22"/>
          <w:szCs w:val="22"/>
        </w:rPr>
        <w:t xml:space="preserve"> has undoubtedly been to expand Commonwealth power at the expense of the states. Students should reflect upon the pros and cons of this development. Centralised power may be more efficient in some ways, but it also concentrates power in one level of government.</w:t>
      </w:r>
    </w:p>
    <w:p w14:paraId="061F74DF" w14:textId="77777777" w:rsidR="005932CA" w:rsidRPr="009E4734" w:rsidRDefault="005932CA" w:rsidP="00F76F61">
      <w:pPr>
        <w:pStyle w:val="Default"/>
        <w:spacing w:line="276" w:lineRule="auto"/>
        <w:jc w:val="both"/>
        <w:rPr>
          <w:color w:val="auto"/>
          <w:sz w:val="22"/>
          <w:szCs w:val="22"/>
        </w:rPr>
      </w:pPr>
    </w:p>
    <w:p w14:paraId="4D8A5E90" w14:textId="77777777" w:rsidR="00F76F61" w:rsidRPr="009E4734" w:rsidRDefault="00F76F61" w:rsidP="006233EB">
      <w:pPr>
        <w:pStyle w:val="xbhead"/>
      </w:pPr>
      <w:r w:rsidRPr="009E4734">
        <w:t>Question 3</w:t>
      </w:r>
    </w:p>
    <w:p w14:paraId="3BDBC5E5" w14:textId="2880FEDF" w:rsidR="00F76F61" w:rsidRDefault="00F76F61" w:rsidP="00B615E6">
      <w:pPr>
        <w:pStyle w:val="Default"/>
        <w:spacing w:line="276" w:lineRule="auto"/>
        <w:jc w:val="both"/>
        <w:rPr>
          <w:color w:val="auto"/>
          <w:sz w:val="22"/>
          <w:szCs w:val="22"/>
        </w:rPr>
      </w:pPr>
      <w:r w:rsidRPr="009E4734">
        <w:rPr>
          <w:color w:val="auto"/>
          <w:sz w:val="22"/>
          <w:szCs w:val="22"/>
        </w:rPr>
        <w:t xml:space="preserve">How does the approach to constitutional interpretation in the </w:t>
      </w:r>
      <w:r w:rsidRPr="0024459C">
        <w:rPr>
          <w:i/>
          <w:iCs/>
          <w:color w:val="auto"/>
          <w:sz w:val="22"/>
          <w:szCs w:val="22"/>
        </w:rPr>
        <w:t>Engineers’ Case</w:t>
      </w:r>
      <w:r w:rsidRPr="009E4734">
        <w:rPr>
          <w:color w:val="auto"/>
          <w:sz w:val="22"/>
          <w:szCs w:val="22"/>
        </w:rPr>
        <w:t xml:space="preserve"> differ from that employed in earlier High Court decisions such as </w:t>
      </w:r>
      <w:proofErr w:type="spellStart"/>
      <w:r w:rsidRPr="0024459C">
        <w:rPr>
          <w:i/>
          <w:iCs/>
          <w:color w:val="auto"/>
          <w:sz w:val="22"/>
          <w:szCs w:val="22"/>
        </w:rPr>
        <w:t>D’Emden</w:t>
      </w:r>
      <w:proofErr w:type="spellEnd"/>
      <w:r w:rsidRPr="0024459C">
        <w:rPr>
          <w:i/>
          <w:iCs/>
          <w:color w:val="auto"/>
          <w:sz w:val="22"/>
          <w:szCs w:val="22"/>
        </w:rPr>
        <w:t xml:space="preserve"> v Pedder</w:t>
      </w:r>
      <w:r w:rsidRPr="009E4734">
        <w:rPr>
          <w:color w:val="auto"/>
          <w:sz w:val="22"/>
          <w:szCs w:val="22"/>
        </w:rPr>
        <w:t xml:space="preserve"> (1904) 1 CLR 91 and </w:t>
      </w:r>
      <w:r w:rsidRPr="0024459C">
        <w:rPr>
          <w:i/>
          <w:iCs/>
          <w:color w:val="auto"/>
          <w:sz w:val="22"/>
          <w:szCs w:val="22"/>
        </w:rPr>
        <w:t>R v Barger</w:t>
      </w:r>
      <w:r w:rsidRPr="009E4734">
        <w:rPr>
          <w:color w:val="auto"/>
          <w:sz w:val="22"/>
          <w:szCs w:val="22"/>
        </w:rPr>
        <w:t xml:space="preserve"> (1908) 6 CLR 41?</w:t>
      </w:r>
    </w:p>
    <w:p w14:paraId="77BE7EA2" w14:textId="620D13F2" w:rsidR="005932CA" w:rsidRPr="005932CA" w:rsidRDefault="005932CA" w:rsidP="00B615E6">
      <w:pPr>
        <w:pStyle w:val="Default"/>
        <w:spacing w:line="276" w:lineRule="auto"/>
        <w:jc w:val="both"/>
        <w:rPr>
          <w:i/>
          <w:color w:val="auto"/>
          <w:sz w:val="22"/>
          <w:szCs w:val="22"/>
        </w:rPr>
      </w:pPr>
    </w:p>
    <w:p w14:paraId="5D287BB4" w14:textId="77777777" w:rsidR="005932CA" w:rsidRPr="005932CA" w:rsidRDefault="005932CA" w:rsidP="009D5130">
      <w:pPr>
        <w:pStyle w:val="Default"/>
        <w:numPr>
          <w:ilvl w:val="0"/>
          <w:numId w:val="11"/>
        </w:numPr>
        <w:spacing w:line="276" w:lineRule="auto"/>
        <w:jc w:val="both"/>
        <w:rPr>
          <w:i/>
          <w:color w:val="002060"/>
          <w:sz w:val="22"/>
          <w:szCs w:val="22"/>
        </w:rPr>
      </w:pPr>
      <w:r w:rsidRPr="005932CA">
        <w:rPr>
          <w:i/>
          <w:color w:val="002060"/>
          <w:sz w:val="22"/>
          <w:szCs w:val="22"/>
          <w:lang w:val="en-US"/>
        </w:rPr>
        <w:t xml:space="preserve">The central question in </w:t>
      </w:r>
      <w:proofErr w:type="spellStart"/>
      <w:r w:rsidRPr="005932CA">
        <w:rPr>
          <w:iCs/>
          <w:color w:val="002060"/>
          <w:sz w:val="22"/>
          <w:szCs w:val="22"/>
        </w:rPr>
        <w:t>D’Emden</w:t>
      </w:r>
      <w:proofErr w:type="spellEnd"/>
      <w:r w:rsidRPr="005932CA">
        <w:rPr>
          <w:iCs/>
          <w:color w:val="002060"/>
          <w:sz w:val="22"/>
          <w:szCs w:val="22"/>
        </w:rPr>
        <w:t xml:space="preserve"> v Pedder</w:t>
      </w:r>
      <w:r w:rsidRPr="005932CA">
        <w:rPr>
          <w:i/>
          <w:color w:val="002060"/>
          <w:sz w:val="22"/>
          <w:szCs w:val="22"/>
        </w:rPr>
        <w:t xml:space="preserve"> </w:t>
      </w:r>
      <w:r w:rsidRPr="005932CA">
        <w:rPr>
          <w:i/>
          <w:color w:val="002060"/>
          <w:sz w:val="22"/>
          <w:szCs w:val="22"/>
          <w:lang w:val="en-US"/>
        </w:rPr>
        <w:t>was whether federal salaries were subject to state stamp duties. Tasmania sought to levy duties on Commonwealth officers. The Commonwealth refused to pay.</w:t>
      </w:r>
    </w:p>
    <w:p w14:paraId="751E7DF5" w14:textId="77777777" w:rsidR="005932CA" w:rsidRPr="005932CA" w:rsidRDefault="005932CA" w:rsidP="009D5130">
      <w:pPr>
        <w:pStyle w:val="Default"/>
        <w:numPr>
          <w:ilvl w:val="1"/>
          <w:numId w:val="11"/>
        </w:numPr>
        <w:spacing w:line="276" w:lineRule="auto"/>
        <w:jc w:val="both"/>
        <w:rPr>
          <w:i/>
          <w:color w:val="002060"/>
          <w:sz w:val="22"/>
          <w:szCs w:val="22"/>
        </w:rPr>
      </w:pPr>
      <w:r w:rsidRPr="005932CA">
        <w:rPr>
          <w:i/>
          <w:color w:val="002060"/>
          <w:sz w:val="22"/>
          <w:szCs w:val="22"/>
          <w:lang w:val="en-US"/>
        </w:rPr>
        <w:t xml:space="preserve">The High Court in </w:t>
      </w:r>
      <w:proofErr w:type="spellStart"/>
      <w:r w:rsidRPr="005932CA">
        <w:rPr>
          <w:iCs/>
          <w:color w:val="002060"/>
          <w:sz w:val="22"/>
          <w:szCs w:val="22"/>
          <w:lang w:val="en-US"/>
        </w:rPr>
        <w:t>D’Emden</w:t>
      </w:r>
      <w:proofErr w:type="spellEnd"/>
      <w:r w:rsidRPr="005932CA">
        <w:rPr>
          <w:i/>
          <w:color w:val="002060"/>
          <w:sz w:val="22"/>
          <w:szCs w:val="22"/>
          <w:lang w:val="en-US"/>
        </w:rPr>
        <w:t xml:space="preserve"> held unanimously that states could not be permitted to burden the federal government’s payment of salaries to its officers by taxing the receipts.</w:t>
      </w:r>
      <w:r w:rsidRPr="005932CA">
        <w:rPr>
          <w:i/>
          <w:color w:val="002060"/>
          <w:sz w:val="22"/>
          <w:szCs w:val="22"/>
        </w:rPr>
        <w:t xml:space="preserve"> </w:t>
      </w:r>
      <w:r w:rsidRPr="005932CA">
        <w:rPr>
          <w:i/>
          <w:color w:val="002060"/>
          <w:sz w:val="22"/>
          <w:szCs w:val="22"/>
          <w:lang w:val="en-US"/>
        </w:rPr>
        <w:t xml:space="preserve">The Tasmanian statute was therefore read down to exclude the Commonwealth. </w:t>
      </w:r>
    </w:p>
    <w:p w14:paraId="2DD30A7A" w14:textId="77777777" w:rsidR="005932CA" w:rsidRPr="005932CA" w:rsidRDefault="005932CA" w:rsidP="009D5130">
      <w:pPr>
        <w:pStyle w:val="Default"/>
        <w:numPr>
          <w:ilvl w:val="1"/>
          <w:numId w:val="11"/>
        </w:numPr>
        <w:spacing w:line="276" w:lineRule="auto"/>
        <w:jc w:val="both"/>
        <w:rPr>
          <w:i/>
          <w:color w:val="002060"/>
          <w:sz w:val="22"/>
          <w:szCs w:val="22"/>
        </w:rPr>
      </w:pPr>
      <w:r w:rsidRPr="005932CA">
        <w:rPr>
          <w:i/>
          <w:color w:val="002060"/>
          <w:sz w:val="22"/>
          <w:szCs w:val="22"/>
        </w:rPr>
        <w:t xml:space="preserve">The case is relevant here because it shows that the early High Court interpreted the Constitution in light of the federal distribution of </w:t>
      </w:r>
      <w:proofErr w:type="gramStart"/>
      <w:r w:rsidRPr="005932CA">
        <w:rPr>
          <w:i/>
          <w:color w:val="002060"/>
          <w:sz w:val="22"/>
          <w:szCs w:val="22"/>
        </w:rPr>
        <w:t>powers, and</w:t>
      </w:r>
      <w:proofErr w:type="gramEnd"/>
      <w:r w:rsidRPr="005932CA">
        <w:rPr>
          <w:i/>
          <w:color w:val="002060"/>
          <w:sz w:val="22"/>
          <w:szCs w:val="22"/>
        </w:rPr>
        <w:t xml:space="preserve"> was concerned to protect both Commonwealth and state governments from infringements on their autonomy and finances.</w:t>
      </w:r>
    </w:p>
    <w:p w14:paraId="1445C882" w14:textId="77777777" w:rsidR="005932CA" w:rsidRPr="005932CA" w:rsidRDefault="005932CA" w:rsidP="009D5130">
      <w:pPr>
        <w:pStyle w:val="Default"/>
        <w:numPr>
          <w:ilvl w:val="2"/>
          <w:numId w:val="11"/>
        </w:numPr>
        <w:spacing w:line="276" w:lineRule="auto"/>
        <w:jc w:val="both"/>
        <w:rPr>
          <w:i/>
          <w:color w:val="002060"/>
          <w:sz w:val="22"/>
          <w:szCs w:val="22"/>
        </w:rPr>
      </w:pPr>
      <w:r w:rsidRPr="005932CA">
        <w:rPr>
          <w:i/>
          <w:color w:val="002060"/>
          <w:sz w:val="22"/>
          <w:szCs w:val="22"/>
        </w:rPr>
        <w:lastRenderedPageBreak/>
        <w:t>The High Court was therefore willing to read down both Commonwealth and state powers to protect the other level of government from interference with its functions.</w:t>
      </w:r>
    </w:p>
    <w:p w14:paraId="5429E311" w14:textId="196D0949" w:rsidR="005932CA" w:rsidRPr="005932CA" w:rsidRDefault="005932CA" w:rsidP="009D5130">
      <w:pPr>
        <w:pStyle w:val="Default"/>
        <w:numPr>
          <w:ilvl w:val="2"/>
          <w:numId w:val="11"/>
        </w:numPr>
        <w:spacing w:line="276" w:lineRule="auto"/>
        <w:jc w:val="both"/>
        <w:rPr>
          <w:i/>
          <w:color w:val="002060"/>
          <w:sz w:val="22"/>
          <w:szCs w:val="22"/>
        </w:rPr>
      </w:pPr>
      <w:proofErr w:type="gramStart"/>
      <w:r w:rsidRPr="005932CA">
        <w:rPr>
          <w:i/>
          <w:color w:val="002060"/>
          <w:sz w:val="22"/>
          <w:szCs w:val="22"/>
        </w:rPr>
        <w:t>The majority</w:t>
      </w:r>
      <w:r w:rsidR="000015E2">
        <w:rPr>
          <w:i/>
          <w:color w:val="002060"/>
          <w:sz w:val="22"/>
          <w:szCs w:val="22"/>
        </w:rPr>
        <w:t xml:space="preserve"> of</w:t>
      </w:r>
      <w:proofErr w:type="gramEnd"/>
      <w:r w:rsidRPr="005932CA">
        <w:rPr>
          <w:i/>
          <w:color w:val="002060"/>
          <w:sz w:val="22"/>
          <w:szCs w:val="22"/>
        </w:rPr>
        <w:t xml:space="preserve"> judges in </w:t>
      </w:r>
      <w:r w:rsidRPr="005932CA">
        <w:rPr>
          <w:iCs/>
          <w:color w:val="002060"/>
          <w:sz w:val="22"/>
          <w:szCs w:val="22"/>
        </w:rPr>
        <w:t>Engineers</w:t>
      </w:r>
      <w:r w:rsidRPr="005932CA">
        <w:rPr>
          <w:i/>
          <w:color w:val="002060"/>
          <w:sz w:val="22"/>
          <w:szCs w:val="22"/>
        </w:rPr>
        <w:t xml:space="preserve"> did not overrule </w:t>
      </w:r>
      <w:proofErr w:type="spellStart"/>
      <w:r w:rsidRPr="005932CA">
        <w:rPr>
          <w:color w:val="002060"/>
          <w:sz w:val="22"/>
          <w:szCs w:val="22"/>
        </w:rPr>
        <w:t>D’Emden</w:t>
      </w:r>
      <w:proofErr w:type="spellEnd"/>
      <w:r w:rsidRPr="005932CA">
        <w:rPr>
          <w:i/>
          <w:color w:val="002060"/>
          <w:sz w:val="22"/>
          <w:szCs w:val="22"/>
        </w:rPr>
        <w:t>, but reinterpreted it as resting on the supremacy of the Commonwealth under s 109, rather than on implied limitations on state powers arising from the federal nature of the Constitution.</w:t>
      </w:r>
    </w:p>
    <w:p w14:paraId="65F8D3B9" w14:textId="77777777" w:rsidR="005932CA" w:rsidRPr="005932CA" w:rsidRDefault="005932CA" w:rsidP="005932CA">
      <w:pPr>
        <w:pStyle w:val="Default"/>
        <w:spacing w:line="276" w:lineRule="auto"/>
        <w:jc w:val="both"/>
        <w:rPr>
          <w:i/>
          <w:color w:val="002060"/>
          <w:sz w:val="22"/>
          <w:szCs w:val="22"/>
        </w:rPr>
      </w:pPr>
    </w:p>
    <w:p w14:paraId="15DF442A" w14:textId="77777777" w:rsidR="005932CA" w:rsidRPr="005932CA" w:rsidRDefault="005932CA" w:rsidP="009D5130">
      <w:pPr>
        <w:pStyle w:val="Default"/>
        <w:numPr>
          <w:ilvl w:val="0"/>
          <w:numId w:val="11"/>
        </w:numPr>
        <w:spacing w:line="276" w:lineRule="auto"/>
        <w:jc w:val="both"/>
        <w:rPr>
          <w:i/>
          <w:color w:val="002060"/>
          <w:sz w:val="22"/>
          <w:szCs w:val="22"/>
        </w:rPr>
      </w:pPr>
      <w:r w:rsidRPr="005932CA">
        <w:rPr>
          <w:color w:val="002060"/>
          <w:sz w:val="22"/>
          <w:szCs w:val="22"/>
        </w:rPr>
        <w:t>R v Barger</w:t>
      </w:r>
      <w:r w:rsidRPr="005932CA">
        <w:rPr>
          <w:i/>
          <w:color w:val="002060"/>
          <w:sz w:val="22"/>
          <w:szCs w:val="22"/>
        </w:rPr>
        <w:t xml:space="preserve"> </w:t>
      </w:r>
      <w:r w:rsidRPr="005932CA">
        <w:rPr>
          <w:i/>
          <w:color w:val="002060"/>
          <w:sz w:val="22"/>
          <w:szCs w:val="22"/>
          <w:lang w:val="en-US"/>
        </w:rPr>
        <w:t>concerned a Commonwealth law imposing a special tariff on agricultural machinery used by factories that did not grant their workers certain minimum conditions. The legislation was challenged on two grounds:</w:t>
      </w:r>
      <w:r w:rsidRPr="005932CA">
        <w:rPr>
          <w:i/>
          <w:color w:val="002060"/>
          <w:sz w:val="22"/>
          <w:szCs w:val="22"/>
        </w:rPr>
        <w:t xml:space="preserve"> </w:t>
      </w:r>
      <w:r w:rsidRPr="005932CA">
        <w:rPr>
          <w:i/>
          <w:color w:val="002060"/>
          <w:sz w:val="22"/>
          <w:szCs w:val="22"/>
          <w:lang w:val="en-US"/>
        </w:rPr>
        <w:t xml:space="preserve">first, that it was outside the taxation power in s 51(ii) of the Constitution; and </w:t>
      </w:r>
      <w:r w:rsidRPr="005932CA">
        <w:rPr>
          <w:i/>
          <w:color w:val="002060"/>
          <w:sz w:val="22"/>
          <w:szCs w:val="22"/>
        </w:rPr>
        <w:t>s</w:t>
      </w:r>
      <w:proofErr w:type="spellStart"/>
      <w:r w:rsidRPr="005932CA">
        <w:rPr>
          <w:i/>
          <w:color w:val="002060"/>
          <w:sz w:val="22"/>
          <w:szCs w:val="22"/>
          <w:lang w:val="en-US"/>
        </w:rPr>
        <w:t>econd</w:t>
      </w:r>
      <w:proofErr w:type="spellEnd"/>
      <w:r w:rsidRPr="005932CA">
        <w:rPr>
          <w:i/>
          <w:color w:val="002060"/>
          <w:sz w:val="22"/>
          <w:szCs w:val="22"/>
          <w:lang w:val="en-US"/>
        </w:rPr>
        <w:t xml:space="preserve">, that it discriminated between the states, which is expressly prohibited in s 51(ii). </w:t>
      </w:r>
    </w:p>
    <w:p w14:paraId="3146BE93" w14:textId="77777777" w:rsidR="005932CA" w:rsidRPr="005932CA" w:rsidRDefault="005932CA" w:rsidP="009D5130">
      <w:pPr>
        <w:pStyle w:val="Default"/>
        <w:numPr>
          <w:ilvl w:val="1"/>
          <w:numId w:val="11"/>
        </w:numPr>
        <w:spacing w:line="276" w:lineRule="auto"/>
        <w:jc w:val="both"/>
        <w:rPr>
          <w:i/>
          <w:color w:val="002060"/>
          <w:sz w:val="22"/>
          <w:szCs w:val="22"/>
        </w:rPr>
      </w:pPr>
      <w:proofErr w:type="gramStart"/>
      <w:r w:rsidRPr="005932CA">
        <w:rPr>
          <w:i/>
          <w:color w:val="002060"/>
          <w:sz w:val="22"/>
          <w:szCs w:val="22"/>
          <w:lang w:val="en-US"/>
        </w:rPr>
        <w:t>A majority of</w:t>
      </w:r>
      <w:proofErr w:type="gramEnd"/>
      <w:r w:rsidRPr="005932CA">
        <w:rPr>
          <w:i/>
          <w:color w:val="002060"/>
          <w:sz w:val="22"/>
          <w:szCs w:val="22"/>
          <w:lang w:val="en-US"/>
        </w:rPr>
        <w:t xml:space="preserve"> the High Court, comprising Griffith CJ, Barton and O'Connor JJ, struck down the law on both grounds.</w:t>
      </w:r>
    </w:p>
    <w:p w14:paraId="0209D38A" w14:textId="77777777" w:rsidR="005932CA" w:rsidRPr="005932CA" w:rsidRDefault="005932CA" w:rsidP="009D5130">
      <w:pPr>
        <w:pStyle w:val="Default"/>
        <w:numPr>
          <w:ilvl w:val="2"/>
          <w:numId w:val="11"/>
        </w:numPr>
        <w:spacing w:line="276" w:lineRule="auto"/>
        <w:jc w:val="both"/>
        <w:rPr>
          <w:i/>
          <w:color w:val="002060"/>
          <w:sz w:val="22"/>
          <w:szCs w:val="22"/>
        </w:rPr>
      </w:pPr>
      <w:r w:rsidRPr="005932CA">
        <w:rPr>
          <w:i/>
          <w:color w:val="002060"/>
          <w:sz w:val="22"/>
          <w:szCs w:val="22"/>
          <w:lang w:val="en-US"/>
        </w:rPr>
        <w:t xml:space="preserve">The Commonwealth can use a tax to achieve an end not solely related to taxation. The legislature’s motives are, in this sense, irrelevant. However, the Constitution reserves certain powers for the states. It must be </w:t>
      </w:r>
      <w:proofErr w:type="gramStart"/>
      <w:r w:rsidRPr="005932CA">
        <w:rPr>
          <w:i/>
          <w:color w:val="002060"/>
          <w:sz w:val="22"/>
          <w:szCs w:val="22"/>
          <w:lang w:val="en-US"/>
        </w:rPr>
        <w:t>read as a whole</w:t>
      </w:r>
      <w:proofErr w:type="gramEnd"/>
      <w:r w:rsidRPr="005932CA">
        <w:rPr>
          <w:i/>
          <w:color w:val="002060"/>
          <w:sz w:val="22"/>
          <w:szCs w:val="22"/>
          <w:lang w:val="en-US"/>
        </w:rPr>
        <w:t>. The Commonwealth cannot use taxation to interfere with areas of state power.</w:t>
      </w:r>
      <w:r w:rsidRPr="005932CA">
        <w:rPr>
          <w:i/>
          <w:color w:val="002060"/>
          <w:sz w:val="22"/>
          <w:szCs w:val="22"/>
        </w:rPr>
        <w:t xml:space="preserve"> </w:t>
      </w:r>
    </w:p>
    <w:p w14:paraId="4E050935" w14:textId="4715A272" w:rsidR="005932CA" w:rsidRPr="005932CA" w:rsidRDefault="005932CA" w:rsidP="009D5130">
      <w:pPr>
        <w:pStyle w:val="Default"/>
        <w:numPr>
          <w:ilvl w:val="2"/>
          <w:numId w:val="11"/>
        </w:numPr>
        <w:spacing w:line="276" w:lineRule="auto"/>
        <w:jc w:val="both"/>
        <w:rPr>
          <w:i/>
          <w:color w:val="002060"/>
          <w:sz w:val="22"/>
          <w:szCs w:val="22"/>
        </w:rPr>
      </w:pPr>
      <w:proofErr w:type="gramStart"/>
      <w:r w:rsidRPr="005932CA">
        <w:rPr>
          <w:i/>
          <w:color w:val="002060"/>
          <w:sz w:val="22"/>
          <w:szCs w:val="22"/>
        </w:rPr>
        <w:t>The majority</w:t>
      </w:r>
      <w:r w:rsidR="000015E2">
        <w:rPr>
          <w:i/>
          <w:color w:val="002060"/>
          <w:sz w:val="22"/>
          <w:szCs w:val="22"/>
        </w:rPr>
        <w:t xml:space="preserve"> of</w:t>
      </w:r>
      <w:proofErr w:type="gramEnd"/>
      <w:r w:rsidRPr="005932CA">
        <w:rPr>
          <w:i/>
          <w:color w:val="002060"/>
          <w:sz w:val="22"/>
          <w:szCs w:val="22"/>
        </w:rPr>
        <w:t xml:space="preserve"> judges therefore concluded that the legislation was not properly viewed as a law ‘with respect to’ taxation. Isaacs and Higgins JJ dissented. Isaacs J’s dissent previewed the majority judgment that he later authored in </w:t>
      </w:r>
      <w:r w:rsidRPr="005932CA">
        <w:rPr>
          <w:color w:val="002060"/>
          <w:sz w:val="22"/>
          <w:szCs w:val="22"/>
        </w:rPr>
        <w:t>Engineers</w:t>
      </w:r>
      <w:r w:rsidRPr="005932CA">
        <w:rPr>
          <w:i/>
          <w:color w:val="002060"/>
          <w:sz w:val="22"/>
          <w:szCs w:val="22"/>
        </w:rPr>
        <w:t xml:space="preserve">. </w:t>
      </w:r>
    </w:p>
    <w:p w14:paraId="323F1950" w14:textId="77777777" w:rsidR="005932CA" w:rsidRPr="005932CA" w:rsidRDefault="005932CA" w:rsidP="009D5130">
      <w:pPr>
        <w:pStyle w:val="Default"/>
        <w:numPr>
          <w:ilvl w:val="1"/>
          <w:numId w:val="11"/>
        </w:numPr>
        <w:spacing w:line="276" w:lineRule="auto"/>
        <w:jc w:val="both"/>
        <w:rPr>
          <w:i/>
          <w:color w:val="002060"/>
          <w:sz w:val="22"/>
          <w:szCs w:val="22"/>
        </w:rPr>
      </w:pPr>
      <w:r w:rsidRPr="005932CA">
        <w:rPr>
          <w:color w:val="002060"/>
          <w:sz w:val="22"/>
          <w:szCs w:val="22"/>
        </w:rPr>
        <w:t>Barger</w:t>
      </w:r>
      <w:r w:rsidRPr="005932CA">
        <w:rPr>
          <w:i/>
          <w:color w:val="002060"/>
          <w:sz w:val="22"/>
          <w:szCs w:val="22"/>
        </w:rPr>
        <w:t xml:space="preserve"> is an example of the use of dominant characterisation and ‘reserved powers’ reasoning to read down Commonwealth powers and protect the states. The case was overruled in Engineers.</w:t>
      </w:r>
    </w:p>
    <w:p w14:paraId="39BAE17D" w14:textId="4CE4A823" w:rsidR="005932CA" w:rsidRPr="005932CA" w:rsidRDefault="005932CA" w:rsidP="009D5130">
      <w:pPr>
        <w:pStyle w:val="Default"/>
        <w:numPr>
          <w:ilvl w:val="2"/>
          <w:numId w:val="11"/>
        </w:numPr>
        <w:spacing w:line="276" w:lineRule="auto"/>
        <w:jc w:val="both"/>
        <w:rPr>
          <w:i/>
          <w:color w:val="002060"/>
          <w:sz w:val="22"/>
          <w:szCs w:val="22"/>
        </w:rPr>
      </w:pPr>
      <w:r w:rsidRPr="005932CA">
        <w:rPr>
          <w:i/>
          <w:color w:val="002060"/>
          <w:sz w:val="22"/>
          <w:szCs w:val="22"/>
        </w:rPr>
        <w:t>Students should be encouraged to reflect upon the two approaches to characterisation and constitutional interpretation more broadly</w:t>
      </w:r>
      <w:r w:rsidR="0029078B">
        <w:rPr>
          <w:i/>
          <w:color w:val="002060"/>
          <w:sz w:val="22"/>
          <w:szCs w:val="22"/>
        </w:rPr>
        <w:t xml:space="preserve"> </w:t>
      </w:r>
      <w:r w:rsidRPr="005932CA">
        <w:rPr>
          <w:i/>
          <w:color w:val="002060"/>
          <w:sz w:val="22"/>
          <w:szCs w:val="22"/>
        </w:rPr>
        <w:t xml:space="preserve">and consider which they find more compelling. </w:t>
      </w:r>
    </w:p>
    <w:p w14:paraId="2AC317F0" w14:textId="77777777" w:rsidR="005932CA" w:rsidRPr="009E4734" w:rsidRDefault="005932CA" w:rsidP="00B615E6">
      <w:pPr>
        <w:pStyle w:val="Default"/>
        <w:spacing w:line="276" w:lineRule="auto"/>
        <w:jc w:val="both"/>
        <w:rPr>
          <w:color w:val="auto"/>
          <w:sz w:val="22"/>
          <w:szCs w:val="22"/>
        </w:rPr>
      </w:pPr>
    </w:p>
    <w:p w14:paraId="7943BAD4" w14:textId="77777777" w:rsidR="00F76F61" w:rsidRPr="009E4734" w:rsidRDefault="00F76F61" w:rsidP="00F76F61">
      <w:pPr>
        <w:pStyle w:val="Default"/>
        <w:spacing w:line="276" w:lineRule="auto"/>
        <w:jc w:val="both"/>
        <w:rPr>
          <w:rFonts w:asciiTheme="majorHAnsi" w:hAnsiTheme="majorHAnsi"/>
          <w:b/>
          <w:bCs/>
          <w:color w:val="auto"/>
        </w:rPr>
      </w:pPr>
    </w:p>
    <w:p w14:paraId="4342F362" w14:textId="77777777" w:rsidR="006233EB" w:rsidRPr="009E4734" w:rsidRDefault="006233EB" w:rsidP="008C6C60">
      <w:pPr>
        <w:pStyle w:val="xahead"/>
      </w:pPr>
      <w:bookmarkStart w:id="0" w:name="_GoBack"/>
      <w:bookmarkEnd w:id="0"/>
    </w:p>
    <w:sectPr w:rsidR="006233EB" w:rsidRPr="009E4734" w:rsidSect="00BB61B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74DA1" w14:textId="77777777" w:rsidR="00527D27" w:rsidRDefault="00527D27" w:rsidP="00950C55">
      <w:pPr>
        <w:spacing w:before="0" w:after="0" w:line="240" w:lineRule="auto"/>
      </w:pPr>
      <w:r>
        <w:separator/>
      </w:r>
    </w:p>
  </w:endnote>
  <w:endnote w:type="continuationSeparator" w:id="0">
    <w:p w14:paraId="087EB566" w14:textId="77777777" w:rsidR="00527D27" w:rsidRDefault="00527D27" w:rsidP="00950C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CFB85" w14:textId="77777777" w:rsidR="004964C4" w:rsidRDefault="00496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289708510"/>
      <w:docPartObj>
        <w:docPartGallery w:val="Page Numbers (Bottom of Page)"/>
        <w:docPartUnique/>
      </w:docPartObj>
    </w:sdtPr>
    <w:sdtEndPr>
      <w:rPr>
        <w:noProof/>
      </w:rPr>
    </w:sdtEndPr>
    <w:sdtContent>
      <w:p w14:paraId="79FC201C" w14:textId="3E01AEB7" w:rsidR="004964C4" w:rsidRPr="00633CD1" w:rsidRDefault="004964C4" w:rsidP="00950C55">
        <w:pPr>
          <w:pStyle w:val="Footer"/>
          <w:rPr>
            <w:sz w:val="16"/>
            <w:szCs w:val="16"/>
          </w:rPr>
        </w:pPr>
        <w:r>
          <w:rPr>
            <w:sz w:val="16"/>
            <w:szCs w:val="16"/>
          </w:rPr>
          <w:t xml:space="preserve">© Oxford University </w:t>
        </w:r>
        <w:r w:rsidRPr="00633CD1">
          <w:rPr>
            <w:sz w:val="16"/>
            <w:szCs w:val="16"/>
          </w:rPr>
          <w:t>Press 2022</w:t>
        </w:r>
        <w:r w:rsidRPr="00633CD1">
          <w:rPr>
            <w:sz w:val="16"/>
            <w:szCs w:val="16"/>
          </w:rPr>
          <w:ptab w:relativeTo="margin" w:alignment="right" w:leader="none"/>
        </w:r>
        <w:r w:rsidRPr="00633CD1">
          <w:rPr>
            <w:sz w:val="16"/>
            <w:szCs w:val="16"/>
          </w:rPr>
          <w:fldChar w:fldCharType="begin"/>
        </w:r>
        <w:r w:rsidRPr="00633CD1">
          <w:rPr>
            <w:sz w:val="16"/>
            <w:szCs w:val="16"/>
          </w:rPr>
          <w:instrText xml:space="preserve"> PAGE   \* MERGEFORMAT </w:instrText>
        </w:r>
        <w:r w:rsidRPr="00633CD1">
          <w:rPr>
            <w:sz w:val="16"/>
            <w:szCs w:val="16"/>
          </w:rPr>
          <w:fldChar w:fldCharType="separate"/>
        </w:r>
        <w:r w:rsidRPr="00633CD1">
          <w:rPr>
            <w:noProof/>
            <w:sz w:val="16"/>
            <w:szCs w:val="16"/>
          </w:rPr>
          <w:t>1</w:t>
        </w:r>
        <w:r w:rsidRPr="00633CD1">
          <w:rPr>
            <w:noProof/>
            <w:sz w:val="16"/>
            <w:szCs w:val="16"/>
          </w:rPr>
          <w:fldChar w:fldCharType="end"/>
        </w:r>
      </w:p>
      <w:p w14:paraId="5868C27D" w14:textId="763E2E05" w:rsidR="004964C4" w:rsidRPr="00633CD1" w:rsidRDefault="004964C4" w:rsidP="00950C55">
        <w:pPr>
          <w:pStyle w:val="Footer"/>
          <w:rPr>
            <w:sz w:val="16"/>
            <w:szCs w:val="16"/>
          </w:rPr>
        </w:pPr>
        <w:r w:rsidRPr="00633CD1">
          <w:rPr>
            <w:sz w:val="16"/>
            <w:szCs w:val="16"/>
          </w:rPr>
          <w:t>Australian Constitutional Law, ISBN 9780190311414</w:t>
        </w:r>
      </w:p>
      <w:p w14:paraId="26C5C94D" w14:textId="1219C070" w:rsidR="004964C4" w:rsidRPr="001568A9" w:rsidRDefault="004964C4" w:rsidP="001568A9">
        <w:pPr>
          <w:pStyle w:val="Footer"/>
          <w:rPr>
            <w:noProof/>
            <w:sz w:val="16"/>
            <w:szCs w:val="16"/>
          </w:rPr>
        </w:pPr>
        <w:r w:rsidRPr="00633CD1">
          <w:rPr>
            <w:sz w:val="16"/>
            <w:szCs w:val="16"/>
          </w:rPr>
          <w:t>Intended for use only by prescribing lecturers. Not to be distributed or copied for any other purpose.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B91DA" w14:textId="77777777" w:rsidR="004964C4" w:rsidRDefault="00496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B7CC8" w14:textId="77777777" w:rsidR="00527D27" w:rsidRDefault="00527D27" w:rsidP="00950C55">
      <w:pPr>
        <w:spacing w:before="0" w:after="0" w:line="240" w:lineRule="auto"/>
      </w:pPr>
      <w:r>
        <w:separator/>
      </w:r>
    </w:p>
  </w:footnote>
  <w:footnote w:type="continuationSeparator" w:id="0">
    <w:p w14:paraId="06B527A5" w14:textId="77777777" w:rsidR="00527D27" w:rsidRDefault="00527D27" w:rsidP="00950C5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0FF18" w14:textId="77777777" w:rsidR="004964C4" w:rsidRDefault="004964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0EF30" w14:textId="77777777" w:rsidR="004964C4" w:rsidRDefault="004964C4">
    <w:pPr>
      <w:pStyle w:val="Header"/>
    </w:pPr>
    <w:r>
      <w:rPr>
        <w:noProof/>
        <w:lang w:eastAsia="en-AU"/>
      </w:rPr>
      <w:drawing>
        <wp:anchor distT="0" distB="0" distL="114300" distR="114300" simplePos="0" relativeHeight="251659776" behindDoc="1" locked="0" layoutInCell="1" allowOverlap="1" wp14:anchorId="31F9EEC4" wp14:editId="597E94DC">
          <wp:simplePos x="0" y="0"/>
          <wp:positionH relativeFrom="column">
            <wp:posOffset>-457200</wp:posOffset>
          </wp:positionH>
          <wp:positionV relativeFrom="paragraph">
            <wp:posOffset>-431800</wp:posOffset>
          </wp:positionV>
          <wp:extent cx="7588250" cy="1082675"/>
          <wp:effectExtent l="0" t="0" r="0" b="3175"/>
          <wp:wrapTight wrapText="bothSides">
            <wp:wrapPolygon edited="0">
              <wp:start x="0" y="0"/>
              <wp:lineTo x="0" y="21283"/>
              <wp:lineTo x="21528" y="21283"/>
              <wp:lineTo x="215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R_ANTIQUITY2_Banner_portrait.jpg"/>
                  <pic:cNvPicPr/>
                </pic:nvPicPr>
                <pic:blipFill>
                  <a:blip r:embed="rId1">
                    <a:extLst>
                      <a:ext uri="{28A0092B-C50C-407E-A947-70E740481C1C}">
                        <a14:useLocalDpi xmlns:a14="http://schemas.microsoft.com/office/drawing/2010/main" val="0"/>
                      </a:ext>
                    </a:extLst>
                  </a:blip>
                  <a:stretch>
                    <a:fillRect/>
                  </a:stretch>
                </pic:blipFill>
                <pic:spPr>
                  <a:xfrm>
                    <a:off x="0" y="0"/>
                    <a:ext cx="7588250" cy="10826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43538" w14:textId="77777777" w:rsidR="004964C4" w:rsidRDefault="00496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638D"/>
    <w:multiLevelType w:val="hybridMultilevel"/>
    <w:tmpl w:val="460E0A66"/>
    <w:lvl w:ilvl="0" w:tplc="DE3C56CE">
      <w:start w:val="1"/>
      <w:numFmt w:val="bullet"/>
      <w:lvlText w:val="•"/>
      <w:lvlJc w:val="left"/>
      <w:pPr>
        <w:tabs>
          <w:tab w:val="num" w:pos="360"/>
        </w:tabs>
        <w:ind w:left="360" w:hanging="360"/>
      </w:pPr>
      <w:rPr>
        <w:rFonts w:ascii="Arial" w:hAnsi="Arial" w:cs="Times New Roman"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8E26C934">
      <w:start w:val="1"/>
      <w:numFmt w:val="bullet"/>
      <w:lvlText w:val="•"/>
      <w:lvlJc w:val="left"/>
      <w:pPr>
        <w:tabs>
          <w:tab w:val="num" w:pos="1800"/>
        </w:tabs>
        <w:ind w:left="1800" w:hanging="360"/>
      </w:pPr>
      <w:rPr>
        <w:rFonts w:ascii="Arial" w:hAnsi="Arial" w:cs="Times New Roman" w:hint="default"/>
      </w:rPr>
    </w:lvl>
    <w:lvl w:ilvl="3" w:tplc="6CB247C6">
      <w:start w:val="1"/>
      <w:numFmt w:val="bullet"/>
      <w:lvlText w:val="•"/>
      <w:lvlJc w:val="left"/>
      <w:pPr>
        <w:tabs>
          <w:tab w:val="num" w:pos="2520"/>
        </w:tabs>
        <w:ind w:left="2520" w:hanging="360"/>
      </w:pPr>
      <w:rPr>
        <w:rFonts w:ascii="Arial" w:hAnsi="Arial" w:cs="Times New Roman" w:hint="default"/>
      </w:rPr>
    </w:lvl>
    <w:lvl w:ilvl="4" w:tplc="0D6090F6">
      <w:start w:val="1"/>
      <w:numFmt w:val="bullet"/>
      <w:lvlText w:val="•"/>
      <w:lvlJc w:val="left"/>
      <w:pPr>
        <w:tabs>
          <w:tab w:val="num" w:pos="3240"/>
        </w:tabs>
        <w:ind w:left="3240" w:hanging="360"/>
      </w:pPr>
      <w:rPr>
        <w:rFonts w:ascii="Arial" w:hAnsi="Arial" w:cs="Times New Roman" w:hint="default"/>
      </w:rPr>
    </w:lvl>
    <w:lvl w:ilvl="5" w:tplc="D45E9AF4">
      <w:start w:val="1"/>
      <w:numFmt w:val="bullet"/>
      <w:lvlText w:val="•"/>
      <w:lvlJc w:val="left"/>
      <w:pPr>
        <w:tabs>
          <w:tab w:val="num" w:pos="3960"/>
        </w:tabs>
        <w:ind w:left="3960" w:hanging="360"/>
      </w:pPr>
      <w:rPr>
        <w:rFonts w:ascii="Arial" w:hAnsi="Arial" w:cs="Times New Roman" w:hint="default"/>
      </w:rPr>
    </w:lvl>
    <w:lvl w:ilvl="6" w:tplc="317E0F66">
      <w:start w:val="1"/>
      <w:numFmt w:val="bullet"/>
      <w:lvlText w:val="•"/>
      <w:lvlJc w:val="left"/>
      <w:pPr>
        <w:tabs>
          <w:tab w:val="num" w:pos="4680"/>
        </w:tabs>
        <w:ind w:left="4680" w:hanging="360"/>
      </w:pPr>
      <w:rPr>
        <w:rFonts w:ascii="Arial" w:hAnsi="Arial" w:cs="Times New Roman" w:hint="default"/>
      </w:rPr>
    </w:lvl>
    <w:lvl w:ilvl="7" w:tplc="129420F4">
      <w:start w:val="1"/>
      <w:numFmt w:val="bullet"/>
      <w:lvlText w:val="•"/>
      <w:lvlJc w:val="left"/>
      <w:pPr>
        <w:tabs>
          <w:tab w:val="num" w:pos="5400"/>
        </w:tabs>
        <w:ind w:left="5400" w:hanging="360"/>
      </w:pPr>
      <w:rPr>
        <w:rFonts w:ascii="Arial" w:hAnsi="Arial" w:cs="Times New Roman" w:hint="default"/>
      </w:rPr>
    </w:lvl>
    <w:lvl w:ilvl="8" w:tplc="B9D25D06">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0418477C"/>
    <w:multiLevelType w:val="hybridMultilevel"/>
    <w:tmpl w:val="21F2B24A"/>
    <w:lvl w:ilvl="0" w:tplc="727693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957B9"/>
    <w:multiLevelType w:val="hybridMultilevel"/>
    <w:tmpl w:val="10946874"/>
    <w:lvl w:ilvl="0" w:tplc="727693C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727693C2">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C6975"/>
    <w:multiLevelType w:val="hybridMultilevel"/>
    <w:tmpl w:val="378445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0AE81465"/>
    <w:multiLevelType w:val="hybridMultilevel"/>
    <w:tmpl w:val="10AA8F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0C7B0D9B"/>
    <w:multiLevelType w:val="hybridMultilevel"/>
    <w:tmpl w:val="49ACAA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8476BE"/>
    <w:multiLevelType w:val="hybridMultilevel"/>
    <w:tmpl w:val="274E3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62954"/>
    <w:multiLevelType w:val="hybridMultilevel"/>
    <w:tmpl w:val="26FE38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1B5B18B9"/>
    <w:multiLevelType w:val="hybridMultilevel"/>
    <w:tmpl w:val="66E245F0"/>
    <w:lvl w:ilvl="0" w:tplc="727693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6C44CE"/>
    <w:multiLevelType w:val="hybridMultilevel"/>
    <w:tmpl w:val="C33448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0545BB9"/>
    <w:multiLevelType w:val="hybridMultilevel"/>
    <w:tmpl w:val="30D028A4"/>
    <w:lvl w:ilvl="0" w:tplc="727693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727693C2">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A86F0A"/>
    <w:multiLevelType w:val="hybridMultilevel"/>
    <w:tmpl w:val="F5A684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245D2FC4"/>
    <w:multiLevelType w:val="hybridMultilevel"/>
    <w:tmpl w:val="66C88B40"/>
    <w:lvl w:ilvl="0" w:tplc="727693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C24961"/>
    <w:multiLevelType w:val="hybridMultilevel"/>
    <w:tmpl w:val="CA0A72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26F65B0A"/>
    <w:multiLevelType w:val="hybridMultilevel"/>
    <w:tmpl w:val="A15605EE"/>
    <w:lvl w:ilvl="0" w:tplc="727693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727693C2">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5D3BF4"/>
    <w:multiLevelType w:val="hybridMultilevel"/>
    <w:tmpl w:val="20C0D2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DA42356"/>
    <w:multiLevelType w:val="hybridMultilevel"/>
    <w:tmpl w:val="9B2EDF8E"/>
    <w:lvl w:ilvl="0" w:tplc="727693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082733"/>
    <w:multiLevelType w:val="hybridMultilevel"/>
    <w:tmpl w:val="F77E2254"/>
    <w:lvl w:ilvl="0" w:tplc="727693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727693C2">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2323D9"/>
    <w:multiLevelType w:val="hybridMultilevel"/>
    <w:tmpl w:val="A2B224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2F435BFD"/>
    <w:multiLevelType w:val="hybridMultilevel"/>
    <w:tmpl w:val="9D44CDFE"/>
    <w:lvl w:ilvl="0" w:tplc="735850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735850F8">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1366A62"/>
    <w:multiLevelType w:val="hybridMultilevel"/>
    <w:tmpl w:val="FCD2A71C"/>
    <w:lvl w:ilvl="0" w:tplc="727693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4A6B5F"/>
    <w:multiLevelType w:val="hybridMultilevel"/>
    <w:tmpl w:val="D250BD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431D748D"/>
    <w:multiLevelType w:val="hybridMultilevel"/>
    <w:tmpl w:val="47A6FACA"/>
    <w:lvl w:ilvl="0" w:tplc="727693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8A22B1"/>
    <w:multiLevelType w:val="hybridMultilevel"/>
    <w:tmpl w:val="11566D36"/>
    <w:lvl w:ilvl="0" w:tplc="727693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654A11"/>
    <w:multiLevelType w:val="hybridMultilevel"/>
    <w:tmpl w:val="8B50FE4A"/>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48286803"/>
    <w:multiLevelType w:val="hybridMultilevel"/>
    <w:tmpl w:val="2DBE51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4A167230"/>
    <w:multiLevelType w:val="hybridMultilevel"/>
    <w:tmpl w:val="B87886CE"/>
    <w:lvl w:ilvl="0" w:tplc="727693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362B47"/>
    <w:multiLevelType w:val="hybridMultilevel"/>
    <w:tmpl w:val="6AAA94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4C452570"/>
    <w:multiLevelType w:val="hybridMultilevel"/>
    <w:tmpl w:val="D826A2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4DBD23EC"/>
    <w:multiLevelType w:val="hybridMultilevel"/>
    <w:tmpl w:val="F5BE00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523638E5"/>
    <w:multiLevelType w:val="hybridMultilevel"/>
    <w:tmpl w:val="30C0A9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56B64680"/>
    <w:multiLevelType w:val="hybridMultilevel"/>
    <w:tmpl w:val="7DB64E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5C196F5F"/>
    <w:multiLevelType w:val="hybridMultilevel"/>
    <w:tmpl w:val="BFDA87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5DBC4B06"/>
    <w:multiLevelType w:val="hybridMultilevel"/>
    <w:tmpl w:val="E2C403C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4" w15:restartNumberingAfterBreak="0">
    <w:nsid w:val="5F087BAE"/>
    <w:multiLevelType w:val="hybridMultilevel"/>
    <w:tmpl w:val="0688D440"/>
    <w:lvl w:ilvl="0" w:tplc="727693C2">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727693C2">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BD5B9F"/>
    <w:multiLevelType w:val="hybridMultilevel"/>
    <w:tmpl w:val="9446CC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62D95EBC"/>
    <w:multiLevelType w:val="hybridMultilevel"/>
    <w:tmpl w:val="4648A056"/>
    <w:lvl w:ilvl="0" w:tplc="727693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FF39BA"/>
    <w:multiLevelType w:val="hybridMultilevel"/>
    <w:tmpl w:val="3A58BC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8" w15:restartNumberingAfterBreak="0">
    <w:nsid w:val="6A3C3F5B"/>
    <w:multiLevelType w:val="hybridMultilevel"/>
    <w:tmpl w:val="9B2C6A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38624B"/>
    <w:multiLevelType w:val="multilevel"/>
    <w:tmpl w:val="3AA05C8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8631E8"/>
    <w:multiLevelType w:val="hybridMultilevel"/>
    <w:tmpl w:val="AA38A616"/>
    <w:lvl w:ilvl="0" w:tplc="0C090003">
      <w:start w:val="1"/>
      <w:numFmt w:val="bullet"/>
      <w:lvlText w:val="o"/>
      <w:lvlJc w:val="left"/>
      <w:pPr>
        <w:ind w:left="357" w:hanging="360"/>
      </w:pPr>
      <w:rPr>
        <w:rFonts w:ascii="Courier New" w:hAnsi="Courier New" w:cs="Courier New" w:hint="default"/>
      </w:rPr>
    </w:lvl>
    <w:lvl w:ilvl="1" w:tplc="0C090003">
      <w:start w:val="1"/>
      <w:numFmt w:val="bullet"/>
      <w:lvlText w:val="o"/>
      <w:lvlJc w:val="left"/>
      <w:pPr>
        <w:ind w:left="1077" w:hanging="360"/>
      </w:pPr>
      <w:rPr>
        <w:rFonts w:ascii="Courier New" w:hAnsi="Courier New" w:cs="Courier New" w:hint="default"/>
      </w:rPr>
    </w:lvl>
    <w:lvl w:ilvl="2" w:tplc="0C090005">
      <w:start w:val="1"/>
      <w:numFmt w:val="bullet"/>
      <w:lvlText w:val=""/>
      <w:lvlJc w:val="left"/>
      <w:pPr>
        <w:ind w:left="1797" w:hanging="360"/>
      </w:pPr>
      <w:rPr>
        <w:rFonts w:ascii="Wingdings" w:hAnsi="Wingdings" w:hint="default"/>
      </w:rPr>
    </w:lvl>
    <w:lvl w:ilvl="3" w:tplc="0C090001">
      <w:start w:val="1"/>
      <w:numFmt w:val="bullet"/>
      <w:lvlText w:val=""/>
      <w:lvlJc w:val="left"/>
      <w:pPr>
        <w:ind w:left="2517" w:hanging="360"/>
      </w:pPr>
      <w:rPr>
        <w:rFonts w:ascii="Symbol" w:hAnsi="Symbol" w:hint="default"/>
      </w:rPr>
    </w:lvl>
    <w:lvl w:ilvl="4" w:tplc="0C090003">
      <w:start w:val="1"/>
      <w:numFmt w:val="bullet"/>
      <w:lvlText w:val="o"/>
      <w:lvlJc w:val="left"/>
      <w:pPr>
        <w:ind w:left="3237" w:hanging="360"/>
      </w:pPr>
      <w:rPr>
        <w:rFonts w:ascii="Courier New" w:hAnsi="Courier New" w:cs="Courier New" w:hint="default"/>
      </w:rPr>
    </w:lvl>
    <w:lvl w:ilvl="5" w:tplc="0C090005">
      <w:start w:val="1"/>
      <w:numFmt w:val="bullet"/>
      <w:lvlText w:val=""/>
      <w:lvlJc w:val="left"/>
      <w:pPr>
        <w:ind w:left="3957" w:hanging="360"/>
      </w:pPr>
      <w:rPr>
        <w:rFonts w:ascii="Wingdings" w:hAnsi="Wingdings" w:hint="default"/>
      </w:rPr>
    </w:lvl>
    <w:lvl w:ilvl="6" w:tplc="0C090001">
      <w:start w:val="1"/>
      <w:numFmt w:val="bullet"/>
      <w:lvlText w:val=""/>
      <w:lvlJc w:val="left"/>
      <w:pPr>
        <w:ind w:left="4677" w:hanging="360"/>
      </w:pPr>
      <w:rPr>
        <w:rFonts w:ascii="Symbol" w:hAnsi="Symbol" w:hint="default"/>
      </w:rPr>
    </w:lvl>
    <w:lvl w:ilvl="7" w:tplc="0C090003">
      <w:start w:val="1"/>
      <w:numFmt w:val="bullet"/>
      <w:lvlText w:val="o"/>
      <w:lvlJc w:val="left"/>
      <w:pPr>
        <w:ind w:left="5397" w:hanging="360"/>
      </w:pPr>
      <w:rPr>
        <w:rFonts w:ascii="Courier New" w:hAnsi="Courier New" w:cs="Courier New" w:hint="default"/>
      </w:rPr>
    </w:lvl>
    <w:lvl w:ilvl="8" w:tplc="0C090005">
      <w:start w:val="1"/>
      <w:numFmt w:val="bullet"/>
      <w:lvlText w:val=""/>
      <w:lvlJc w:val="left"/>
      <w:pPr>
        <w:ind w:left="6117" w:hanging="360"/>
      </w:pPr>
      <w:rPr>
        <w:rFonts w:ascii="Wingdings" w:hAnsi="Wingdings" w:hint="default"/>
      </w:rPr>
    </w:lvl>
  </w:abstractNum>
  <w:abstractNum w:abstractNumId="41" w15:restartNumberingAfterBreak="0">
    <w:nsid w:val="71AB7D0A"/>
    <w:multiLevelType w:val="hybridMultilevel"/>
    <w:tmpl w:val="652CE920"/>
    <w:lvl w:ilvl="0" w:tplc="735850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735850F8">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2341648"/>
    <w:multiLevelType w:val="hybridMultilevel"/>
    <w:tmpl w:val="A41440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3" w15:restartNumberingAfterBreak="0">
    <w:nsid w:val="7743143F"/>
    <w:multiLevelType w:val="hybridMultilevel"/>
    <w:tmpl w:val="EE6655BA"/>
    <w:lvl w:ilvl="0" w:tplc="727693C2">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727693C2">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A005E6"/>
    <w:multiLevelType w:val="hybridMultilevel"/>
    <w:tmpl w:val="F7EE13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5" w15:restartNumberingAfterBreak="0">
    <w:nsid w:val="7C0B06FA"/>
    <w:multiLevelType w:val="hybridMultilevel"/>
    <w:tmpl w:val="A204F9D4"/>
    <w:lvl w:ilvl="0" w:tplc="727693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727693C2">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8B2639"/>
    <w:multiLevelType w:val="hybridMultilevel"/>
    <w:tmpl w:val="0CA6C1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6"/>
  </w:num>
  <w:num w:numId="2">
    <w:abstractNumId w:val="38"/>
  </w:num>
  <w:num w:numId="3">
    <w:abstractNumId w:val="5"/>
  </w:num>
  <w:num w:numId="4">
    <w:abstractNumId w:val="41"/>
  </w:num>
  <w:num w:numId="5">
    <w:abstractNumId w:val="19"/>
  </w:num>
  <w:num w:numId="6">
    <w:abstractNumId w:val="18"/>
  </w:num>
  <w:num w:numId="7">
    <w:abstractNumId w:val="14"/>
  </w:num>
  <w:num w:numId="8">
    <w:abstractNumId w:val="45"/>
  </w:num>
  <w:num w:numId="9">
    <w:abstractNumId w:val="36"/>
  </w:num>
  <w:num w:numId="10">
    <w:abstractNumId w:val="28"/>
  </w:num>
  <w:num w:numId="11">
    <w:abstractNumId w:val="31"/>
  </w:num>
  <w:num w:numId="12">
    <w:abstractNumId w:val="32"/>
  </w:num>
  <w:num w:numId="13">
    <w:abstractNumId w:val="27"/>
  </w:num>
  <w:num w:numId="14">
    <w:abstractNumId w:val="15"/>
  </w:num>
  <w:num w:numId="15">
    <w:abstractNumId w:val="26"/>
  </w:num>
  <w:num w:numId="16">
    <w:abstractNumId w:val="16"/>
  </w:num>
  <w:num w:numId="17">
    <w:abstractNumId w:val="25"/>
  </w:num>
  <w:num w:numId="18">
    <w:abstractNumId w:val="30"/>
  </w:num>
  <w:num w:numId="19">
    <w:abstractNumId w:val="11"/>
  </w:num>
  <w:num w:numId="20">
    <w:abstractNumId w:val="0"/>
  </w:num>
  <w:num w:numId="21">
    <w:abstractNumId w:val="7"/>
  </w:num>
  <w:num w:numId="22">
    <w:abstractNumId w:val="44"/>
  </w:num>
  <w:num w:numId="23">
    <w:abstractNumId w:val="4"/>
  </w:num>
  <w:num w:numId="24">
    <w:abstractNumId w:val="8"/>
  </w:num>
  <w:num w:numId="25">
    <w:abstractNumId w:val="1"/>
  </w:num>
  <w:num w:numId="26">
    <w:abstractNumId w:val="23"/>
  </w:num>
  <w:num w:numId="27">
    <w:abstractNumId w:val="39"/>
    <w:lvlOverride w:ilvl="0"/>
    <w:lvlOverride w:ilvl="1"/>
    <w:lvlOverride w:ilvl="2"/>
    <w:lvlOverride w:ilvl="3">
      <w:startOverride w:val="1"/>
    </w:lvlOverride>
    <w:lvlOverride w:ilvl="4"/>
    <w:lvlOverride w:ilvl="5"/>
    <w:lvlOverride w:ilvl="6"/>
    <w:lvlOverride w:ilvl="7"/>
    <w:lvlOverride w:ilvl="8"/>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35"/>
  </w:num>
  <w:num w:numId="31">
    <w:abstractNumId w:val="24"/>
  </w:num>
  <w:num w:numId="32">
    <w:abstractNumId w:val="17"/>
  </w:num>
  <w:num w:numId="33">
    <w:abstractNumId w:val="29"/>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4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38">
    <w:abstractNumId w:val="12"/>
  </w:num>
  <w:num w:numId="39">
    <w:abstractNumId w:val="46"/>
  </w:num>
  <w:num w:numId="40">
    <w:abstractNumId w:val="20"/>
  </w:num>
  <w:num w:numId="41">
    <w:abstractNumId w:val="2"/>
  </w:num>
  <w:num w:numId="42">
    <w:abstractNumId w:val="43"/>
    <w:lvlOverride w:ilvl="0"/>
    <w:lvlOverride w:ilvl="1">
      <w:startOverride w:val="1"/>
    </w:lvlOverride>
    <w:lvlOverride w:ilvl="2"/>
    <w:lvlOverride w:ilvl="3"/>
    <w:lvlOverride w:ilvl="4"/>
    <w:lvlOverride w:ilvl="5"/>
    <w:lvlOverride w:ilvl="6"/>
    <w:lvlOverride w:ilvl="7"/>
    <w:lvlOverride w:ilvl="8"/>
  </w:num>
  <w:num w:numId="43">
    <w:abstractNumId w:val="22"/>
  </w:num>
  <w:num w:numId="44">
    <w:abstractNumId w:val="21"/>
  </w:num>
  <w:num w:numId="45">
    <w:abstractNumId w:val="10"/>
  </w:num>
  <w:num w:numId="46">
    <w:abstractNumId w:val="34"/>
    <w:lvlOverride w:ilvl="0"/>
    <w:lvlOverride w:ilvl="1">
      <w:startOverride w:val="1"/>
    </w:lvlOverride>
    <w:lvlOverride w:ilvl="2"/>
    <w:lvlOverride w:ilvl="3"/>
    <w:lvlOverride w:ilvl="4"/>
    <w:lvlOverride w:ilvl="5"/>
    <w:lvlOverride w:ilvl="6"/>
    <w:lvlOverride w:ilvl="7"/>
    <w:lvlOverride w:ilvl="8"/>
  </w:num>
  <w:num w:numId="47">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82"/>
    <w:rsid w:val="00001148"/>
    <w:rsid w:val="000015E2"/>
    <w:rsid w:val="000205BC"/>
    <w:rsid w:val="000436A9"/>
    <w:rsid w:val="0007352D"/>
    <w:rsid w:val="00080DC1"/>
    <w:rsid w:val="00083B86"/>
    <w:rsid w:val="000846C4"/>
    <w:rsid w:val="000A10EB"/>
    <w:rsid w:val="000A4C0E"/>
    <w:rsid w:val="000F6C08"/>
    <w:rsid w:val="00135CB0"/>
    <w:rsid w:val="001568A9"/>
    <w:rsid w:val="00156BF6"/>
    <w:rsid w:val="00185D96"/>
    <w:rsid w:val="001B2D61"/>
    <w:rsid w:val="001B391C"/>
    <w:rsid w:val="001D4487"/>
    <w:rsid w:val="0020342F"/>
    <w:rsid w:val="00206D07"/>
    <w:rsid w:val="002442DA"/>
    <w:rsid w:val="0024459C"/>
    <w:rsid w:val="00257833"/>
    <w:rsid w:val="002850AB"/>
    <w:rsid w:val="0029078B"/>
    <w:rsid w:val="002A5505"/>
    <w:rsid w:val="002A7A35"/>
    <w:rsid w:val="002C0686"/>
    <w:rsid w:val="002C0865"/>
    <w:rsid w:val="002E3BCF"/>
    <w:rsid w:val="00356D05"/>
    <w:rsid w:val="003662E5"/>
    <w:rsid w:val="00384E76"/>
    <w:rsid w:val="003879A4"/>
    <w:rsid w:val="00397E62"/>
    <w:rsid w:val="003A167A"/>
    <w:rsid w:val="003A5151"/>
    <w:rsid w:val="003E16BE"/>
    <w:rsid w:val="00441EE4"/>
    <w:rsid w:val="00452D3E"/>
    <w:rsid w:val="0048389F"/>
    <w:rsid w:val="004846AB"/>
    <w:rsid w:val="004861F2"/>
    <w:rsid w:val="004964C4"/>
    <w:rsid w:val="004D0BE6"/>
    <w:rsid w:val="00522503"/>
    <w:rsid w:val="00527898"/>
    <w:rsid w:val="00527D27"/>
    <w:rsid w:val="00533DAF"/>
    <w:rsid w:val="0053408A"/>
    <w:rsid w:val="005932CA"/>
    <w:rsid w:val="00597AF3"/>
    <w:rsid w:val="00601BF1"/>
    <w:rsid w:val="006233EB"/>
    <w:rsid w:val="006303DD"/>
    <w:rsid w:val="00633CD1"/>
    <w:rsid w:val="00641454"/>
    <w:rsid w:val="0064343F"/>
    <w:rsid w:val="00654200"/>
    <w:rsid w:val="006752D3"/>
    <w:rsid w:val="006B4527"/>
    <w:rsid w:val="006F167B"/>
    <w:rsid w:val="00702D17"/>
    <w:rsid w:val="007101B9"/>
    <w:rsid w:val="00710E82"/>
    <w:rsid w:val="007136E3"/>
    <w:rsid w:val="0075414A"/>
    <w:rsid w:val="00755857"/>
    <w:rsid w:val="00764625"/>
    <w:rsid w:val="00767FF6"/>
    <w:rsid w:val="007A477A"/>
    <w:rsid w:val="008132C3"/>
    <w:rsid w:val="008175D7"/>
    <w:rsid w:val="0083036D"/>
    <w:rsid w:val="00842508"/>
    <w:rsid w:val="00844EE5"/>
    <w:rsid w:val="008576F8"/>
    <w:rsid w:val="008871BC"/>
    <w:rsid w:val="008A1DFB"/>
    <w:rsid w:val="008B042D"/>
    <w:rsid w:val="008C6C60"/>
    <w:rsid w:val="008F4D01"/>
    <w:rsid w:val="00907B49"/>
    <w:rsid w:val="00932104"/>
    <w:rsid w:val="00932741"/>
    <w:rsid w:val="00950C55"/>
    <w:rsid w:val="00956C48"/>
    <w:rsid w:val="00994E7F"/>
    <w:rsid w:val="009A392E"/>
    <w:rsid w:val="009A5F7F"/>
    <w:rsid w:val="009D3274"/>
    <w:rsid w:val="009D5130"/>
    <w:rsid w:val="009E466F"/>
    <w:rsid w:val="009E4734"/>
    <w:rsid w:val="009E64B0"/>
    <w:rsid w:val="009F3FAD"/>
    <w:rsid w:val="00A0401D"/>
    <w:rsid w:val="00A062A5"/>
    <w:rsid w:val="00A23875"/>
    <w:rsid w:val="00A32AEA"/>
    <w:rsid w:val="00A442C1"/>
    <w:rsid w:val="00A65A5E"/>
    <w:rsid w:val="00A7076C"/>
    <w:rsid w:val="00A70CB6"/>
    <w:rsid w:val="00AB3526"/>
    <w:rsid w:val="00AC4803"/>
    <w:rsid w:val="00AD5849"/>
    <w:rsid w:val="00AE2897"/>
    <w:rsid w:val="00B10E83"/>
    <w:rsid w:val="00B14B47"/>
    <w:rsid w:val="00B35018"/>
    <w:rsid w:val="00B615E6"/>
    <w:rsid w:val="00B76995"/>
    <w:rsid w:val="00BB0BE0"/>
    <w:rsid w:val="00BB54FD"/>
    <w:rsid w:val="00BB61BB"/>
    <w:rsid w:val="00BC276B"/>
    <w:rsid w:val="00BF0D24"/>
    <w:rsid w:val="00BF6C0A"/>
    <w:rsid w:val="00C53AAD"/>
    <w:rsid w:val="00C65CAC"/>
    <w:rsid w:val="00C82A9E"/>
    <w:rsid w:val="00C968AD"/>
    <w:rsid w:val="00CA5212"/>
    <w:rsid w:val="00CA7AD5"/>
    <w:rsid w:val="00CB7DC3"/>
    <w:rsid w:val="00CD0725"/>
    <w:rsid w:val="00CE43C2"/>
    <w:rsid w:val="00D2015F"/>
    <w:rsid w:val="00D2512F"/>
    <w:rsid w:val="00D320EC"/>
    <w:rsid w:val="00D37567"/>
    <w:rsid w:val="00D47082"/>
    <w:rsid w:val="00D9500F"/>
    <w:rsid w:val="00DA400B"/>
    <w:rsid w:val="00DD5D25"/>
    <w:rsid w:val="00E56102"/>
    <w:rsid w:val="00E57716"/>
    <w:rsid w:val="00E57D77"/>
    <w:rsid w:val="00EA1132"/>
    <w:rsid w:val="00EB5953"/>
    <w:rsid w:val="00EC04B1"/>
    <w:rsid w:val="00F37BD9"/>
    <w:rsid w:val="00F5500D"/>
    <w:rsid w:val="00F7306F"/>
    <w:rsid w:val="00F76F61"/>
    <w:rsid w:val="00F84178"/>
    <w:rsid w:val="00FD2E0A"/>
    <w:rsid w:val="00FE05AC"/>
    <w:rsid w:val="00FE3550"/>
    <w:rsid w:val="00FF7F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34571"/>
  <w15:docId w15:val="{DE8CADD6-424A-4E43-AB3F-14ADDC01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6C0A"/>
    <w:pPr>
      <w:spacing w:before="120" w:after="120" w:line="240" w:lineRule="atLeast"/>
      <w:ind w:left="340" w:hanging="340"/>
    </w:pPr>
    <w:rPr>
      <w:rFonts w:ascii="Arial" w:hAnsi="Arial"/>
      <w:sz w:val="20"/>
    </w:rPr>
  </w:style>
  <w:style w:type="paragraph" w:styleId="Heading1">
    <w:name w:val="heading 1"/>
    <w:basedOn w:val="Normal"/>
    <w:next w:val="Normal"/>
    <w:link w:val="Heading1Char"/>
    <w:uiPriority w:val="9"/>
    <w:qFormat/>
    <w:rsid w:val="009E46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E46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C5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C55"/>
    <w:rPr>
      <w:rFonts w:ascii="Tahoma" w:hAnsi="Tahoma" w:cs="Tahoma"/>
      <w:sz w:val="16"/>
      <w:szCs w:val="16"/>
    </w:rPr>
  </w:style>
  <w:style w:type="paragraph" w:styleId="Footer">
    <w:name w:val="footer"/>
    <w:basedOn w:val="Normal"/>
    <w:link w:val="FooterChar"/>
    <w:uiPriority w:val="99"/>
    <w:unhideWhenUsed/>
    <w:rsid w:val="00950C5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50C55"/>
    <w:rPr>
      <w:rFonts w:ascii="Arial" w:hAnsi="Arial"/>
      <w:sz w:val="20"/>
    </w:rPr>
  </w:style>
  <w:style w:type="paragraph" w:styleId="Header">
    <w:name w:val="header"/>
    <w:basedOn w:val="Normal"/>
    <w:link w:val="HeaderChar"/>
    <w:uiPriority w:val="99"/>
    <w:unhideWhenUsed/>
    <w:rsid w:val="00950C5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50C55"/>
    <w:rPr>
      <w:rFonts w:ascii="Arial" w:hAnsi="Arial"/>
      <w:sz w:val="20"/>
    </w:rPr>
  </w:style>
  <w:style w:type="character" w:styleId="PlaceholderText">
    <w:name w:val="Placeholder Text"/>
    <w:basedOn w:val="DefaultParagraphFont"/>
    <w:uiPriority w:val="99"/>
    <w:semiHidden/>
    <w:rsid w:val="00950C55"/>
    <w:rPr>
      <w:color w:val="808080"/>
    </w:rPr>
  </w:style>
  <w:style w:type="table" w:styleId="TableGrid">
    <w:name w:val="Table Grid"/>
    <w:basedOn w:val="TableNormal"/>
    <w:uiPriority w:val="59"/>
    <w:rsid w:val="00950C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inlinehead">
    <w:name w:val="xinline head"/>
    <w:basedOn w:val="DefaultParagraphFont"/>
    <w:uiPriority w:val="1"/>
    <w:qFormat/>
    <w:rsid w:val="000205BC"/>
    <w:rPr>
      <w:rFonts w:ascii="Arial" w:hAnsi="Arial"/>
      <w:b/>
    </w:rPr>
  </w:style>
  <w:style w:type="paragraph" w:customStyle="1" w:styleId="xahead">
    <w:name w:val="xahead"/>
    <w:basedOn w:val="Normal"/>
    <w:autoRedefine/>
    <w:qFormat/>
    <w:rsid w:val="008C6C60"/>
    <w:pPr>
      <w:spacing w:before="240" w:after="60" w:line="276" w:lineRule="auto"/>
      <w:ind w:left="0" w:firstLine="0"/>
      <w:outlineLvl w:val="1"/>
    </w:pPr>
    <w:rPr>
      <w:rFonts w:eastAsia="MS Gothic" w:cs="Times New Roman"/>
      <w:noProof/>
      <w:color w:val="365F91" w:themeColor="accent1" w:themeShade="BF"/>
      <w:sz w:val="40"/>
      <w:szCs w:val="44"/>
      <w:lang w:val="en-US" w:eastAsia="en-AU"/>
    </w:rPr>
  </w:style>
  <w:style w:type="character" w:customStyle="1" w:styleId="xanswercharacter">
    <w:name w:val="xanswer character"/>
    <w:basedOn w:val="DefaultParagraphFont"/>
    <w:uiPriority w:val="1"/>
    <w:qFormat/>
    <w:rsid w:val="000F6C08"/>
    <w:rPr>
      <w:color w:val="0070C0"/>
      <w:lang w:eastAsia="en-AU"/>
    </w:rPr>
  </w:style>
  <w:style w:type="character" w:customStyle="1" w:styleId="xanswercharacterfillintheblanks">
    <w:name w:val="xanswer character fill in the blanks"/>
    <w:basedOn w:val="xanswercharacter"/>
    <w:uiPriority w:val="1"/>
    <w:qFormat/>
    <w:rsid w:val="000F6C08"/>
    <w:rPr>
      <w:color w:val="0070C0"/>
      <w:u w:val="single"/>
      <w:lang w:eastAsia="en-AU"/>
    </w:rPr>
  </w:style>
  <w:style w:type="paragraph" w:customStyle="1" w:styleId="xparafo">
    <w:name w:val="xpara fo"/>
    <w:basedOn w:val="Normal"/>
    <w:qFormat/>
    <w:rsid w:val="00932104"/>
    <w:pPr>
      <w:autoSpaceDE w:val="0"/>
      <w:autoSpaceDN w:val="0"/>
      <w:adjustRightInd w:val="0"/>
      <w:spacing w:before="240" w:after="60" w:line="240" w:lineRule="auto"/>
      <w:ind w:left="0" w:firstLine="0"/>
    </w:pPr>
    <w:rPr>
      <w:rFonts w:ascii="Times New Roman" w:hAnsi="Times New Roman" w:cs="Arial"/>
      <w:sz w:val="22"/>
    </w:rPr>
  </w:style>
  <w:style w:type="paragraph" w:customStyle="1" w:styleId="xanswersfo">
    <w:name w:val="xanswers fo"/>
    <w:basedOn w:val="xparafo"/>
    <w:qFormat/>
    <w:rsid w:val="000F6C08"/>
    <w:rPr>
      <w:color w:val="0070C0"/>
    </w:rPr>
  </w:style>
  <w:style w:type="paragraph" w:customStyle="1" w:styleId="xlist">
    <w:name w:val="xlist"/>
    <w:basedOn w:val="Normal"/>
    <w:qFormat/>
    <w:rsid w:val="00932104"/>
    <w:pPr>
      <w:spacing w:before="240" w:after="60" w:line="240" w:lineRule="auto"/>
      <w:ind w:left="454" w:hanging="454"/>
    </w:pPr>
    <w:rPr>
      <w:rFonts w:ascii="Times New Roman" w:hAnsi="Times New Roman" w:cs="Arial"/>
      <w:sz w:val="22"/>
    </w:rPr>
  </w:style>
  <w:style w:type="paragraph" w:customStyle="1" w:styleId="xanswerslist">
    <w:name w:val="xanswers list"/>
    <w:basedOn w:val="xlist"/>
    <w:qFormat/>
    <w:rsid w:val="000F6C08"/>
    <w:pPr>
      <w:tabs>
        <w:tab w:val="left" w:pos="454"/>
        <w:tab w:val="left" w:pos="907"/>
      </w:tabs>
    </w:pPr>
    <w:rPr>
      <w:color w:val="0070C0"/>
    </w:rPr>
  </w:style>
  <w:style w:type="paragraph" w:customStyle="1" w:styleId="xlist2">
    <w:name w:val="xlist 2"/>
    <w:basedOn w:val="Normal"/>
    <w:qFormat/>
    <w:rsid w:val="00A32AEA"/>
    <w:pPr>
      <w:tabs>
        <w:tab w:val="right" w:pos="10490"/>
      </w:tabs>
      <w:spacing w:before="240" w:after="60" w:line="240" w:lineRule="auto"/>
      <w:ind w:left="908" w:hanging="454"/>
    </w:pPr>
    <w:rPr>
      <w:rFonts w:ascii="Times New Roman" w:hAnsi="Times New Roman"/>
      <w:sz w:val="22"/>
    </w:rPr>
  </w:style>
  <w:style w:type="paragraph" w:customStyle="1" w:styleId="xanswerslist2">
    <w:name w:val="xanswers list 2"/>
    <w:basedOn w:val="xlist2"/>
    <w:qFormat/>
    <w:rsid w:val="000F6C08"/>
    <w:pPr>
      <w:tabs>
        <w:tab w:val="left" w:pos="907"/>
        <w:tab w:val="left" w:pos="1361"/>
      </w:tabs>
    </w:pPr>
    <w:rPr>
      <w:color w:val="0070C0"/>
    </w:rPr>
  </w:style>
  <w:style w:type="paragraph" w:customStyle="1" w:styleId="xlist3">
    <w:name w:val="xlist 3"/>
    <w:basedOn w:val="xlist2"/>
    <w:qFormat/>
    <w:rsid w:val="00950C55"/>
    <w:pPr>
      <w:ind w:left="1361"/>
    </w:pPr>
  </w:style>
  <w:style w:type="paragraph" w:customStyle="1" w:styleId="xanswerslist3">
    <w:name w:val="xanswers list 3"/>
    <w:basedOn w:val="xlist3"/>
    <w:qFormat/>
    <w:rsid w:val="000F6C08"/>
    <w:pPr>
      <w:tabs>
        <w:tab w:val="right" w:pos="1361"/>
        <w:tab w:val="right" w:pos="1701"/>
      </w:tabs>
    </w:pPr>
    <w:rPr>
      <w:color w:val="0070C0"/>
    </w:rPr>
  </w:style>
  <w:style w:type="paragraph" w:customStyle="1" w:styleId="xpara">
    <w:name w:val="xpara"/>
    <w:basedOn w:val="xparafo"/>
    <w:link w:val="xparaChar"/>
    <w:qFormat/>
    <w:rsid w:val="00950C55"/>
    <w:pPr>
      <w:ind w:firstLine="454"/>
    </w:pPr>
  </w:style>
  <w:style w:type="paragraph" w:customStyle="1" w:styleId="xanswerspara">
    <w:name w:val="xanswers para"/>
    <w:basedOn w:val="xpara"/>
    <w:qFormat/>
    <w:rsid w:val="000F6C08"/>
    <w:rPr>
      <w:color w:val="0070C0"/>
    </w:rPr>
  </w:style>
  <w:style w:type="paragraph" w:customStyle="1" w:styleId="xbhead">
    <w:name w:val="xbhead"/>
    <w:next w:val="xparafo"/>
    <w:autoRedefine/>
    <w:qFormat/>
    <w:rsid w:val="00F76F61"/>
    <w:pPr>
      <w:shd w:val="clear" w:color="auto" w:fill="FFFFFF" w:themeFill="background1"/>
      <w:spacing w:before="320" w:after="240" w:line="240" w:lineRule="auto"/>
      <w:outlineLvl w:val="2"/>
    </w:pPr>
    <w:rPr>
      <w:rFonts w:ascii="Arial" w:eastAsia="MS Gothic" w:hAnsi="Arial" w:cs="Times New Roman"/>
      <w:b/>
      <w:noProof/>
      <w:color w:val="000000" w:themeColor="text1"/>
      <w:sz w:val="28"/>
      <w:szCs w:val="28"/>
      <w:lang w:val="en-US" w:eastAsia="en-AU"/>
    </w:rPr>
  </w:style>
  <w:style w:type="character" w:customStyle="1" w:styleId="xbold">
    <w:name w:val="xbold"/>
    <w:basedOn w:val="DefaultParagraphFont"/>
    <w:uiPriority w:val="1"/>
    <w:qFormat/>
    <w:rsid w:val="00950C55"/>
    <w:rPr>
      <w:b/>
    </w:rPr>
  </w:style>
  <w:style w:type="paragraph" w:customStyle="1" w:styleId="xcaption">
    <w:name w:val="xcaption"/>
    <w:basedOn w:val="Normal"/>
    <w:qFormat/>
    <w:rsid w:val="00950C55"/>
    <w:pPr>
      <w:spacing w:before="0" w:line="240" w:lineRule="auto"/>
    </w:pPr>
    <w:rPr>
      <w:bCs/>
      <w:szCs w:val="20"/>
      <w:lang w:val="en-US"/>
    </w:rPr>
  </w:style>
  <w:style w:type="paragraph" w:customStyle="1" w:styleId="xparthead">
    <w:name w:val="xpart head"/>
    <w:basedOn w:val="Normal"/>
    <w:qFormat/>
    <w:rsid w:val="00CA5212"/>
    <w:pPr>
      <w:pBdr>
        <w:bottom w:val="single" w:sz="4" w:space="1" w:color="808080" w:themeColor="background1" w:themeShade="80"/>
      </w:pBdr>
      <w:outlineLvl w:val="0"/>
    </w:pPr>
    <w:rPr>
      <w:rFonts w:cs="Arial"/>
      <w:b/>
      <w:color w:val="7F7F7F" w:themeColor="text1" w:themeTint="80"/>
      <w:sz w:val="32"/>
    </w:rPr>
  </w:style>
  <w:style w:type="paragraph" w:customStyle="1" w:styleId="xfigureheading">
    <w:name w:val="xfigure heading"/>
    <w:basedOn w:val="xcaption"/>
    <w:qFormat/>
    <w:rsid w:val="00950C55"/>
    <w:pPr>
      <w:spacing w:before="240" w:after="60"/>
    </w:pPr>
    <w:rPr>
      <w:caps/>
      <w:lang w:eastAsia="en-AU"/>
    </w:rPr>
  </w:style>
  <w:style w:type="paragraph" w:customStyle="1" w:styleId="xfiguresource">
    <w:name w:val="xfigure source"/>
    <w:basedOn w:val="xcaption"/>
    <w:qFormat/>
    <w:rsid w:val="00950C55"/>
    <w:pPr>
      <w:jc w:val="right"/>
    </w:pPr>
    <w:rPr>
      <w:lang w:eastAsia="en-AU"/>
    </w:rPr>
  </w:style>
  <w:style w:type="paragraph" w:customStyle="1" w:styleId="xfillintheblanks">
    <w:name w:val="xfill in the blanks"/>
    <w:basedOn w:val="xparafo"/>
    <w:qFormat/>
    <w:rsid w:val="00950C55"/>
    <w:pPr>
      <w:spacing w:line="600" w:lineRule="auto"/>
      <w:ind w:left="454"/>
    </w:pPr>
  </w:style>
  <w:style w:type="paragraph" w:customStyle="1" w:styleId="xfooter">
    <w:name w:val="xfooter"/>
    <w:basedOn w:val="Normal"/>
    <w:qFormat/>
    <w:rsid w:val="00950C55"/>
    <w:pPr>
      <w:spacing w:before="0" w:after="0" w:line="240" w:lineRule="auto"/>
      <w:ind w:left="0" w:firstLine="0"/>
    </w:pPr>
    <w:rPr>
      <w:rFonts w:cs="Arial"/>
      <w:sz w:val="16"/>
      <w:szCs w:val="20"/>
      <w:lang w:eastAsia="en-AU"/>
    </w:rPr>
  </w:style>
  <w:style w:type="character" w:customStyle="1" w:styleId="xitalic">
    <w:name w:val="xitalic"/>
    <w:basedOn w:val="DefaultParagraphFont"/>
    <w:uiPriority w:val="1"/>
    <w:qFormat/>
    <w:rsid w:val="00950C55"/>
    <w:rPr>
      <w:i/>
    </w:rPr>
  </w:style>
  <w:style w:type="table" w:customStyle="1" w:styleId="xline">
    <w:name w:val="xline"/>
    <w:basedOn w:val="TableNormal"/>
    <w:uiPriority w:val="99"/>
    <w:rsid w:val="00950C55"/>
    <w:pPr>
      <w:spacing w:after="0" w:line="240" w:lineRule="auto"/>
    </w:pPr>
    <w:rPr>
      <w:lang w:val="en-US"/>
    </w:rPr>
    <w:tblPr>
      <w:tblBorders>
        <w:bottom w:val="single" w:sz="4" w:space="0" w:color="auto"/>
        <w:insideH w:val="single" w:sz="4" w:space="0" w:color="auto"/>
      </w:tblBorders>
    </w:tblPr>
  </w:style>
  <w:style w:type="table" w:customStyle="1" w:styleId="xlines">
    <w:name w:val="xlines"/>
    <w:basedOn w:val="TableNormal"/>
    <w:uiPriority w:val="99"/>
    <w:rsid w:val="00950C55"/>
    <w:pPr>
      <w:spacing w:after="240" w:line="240" w:lineRule="auto"/>
    </w:pPr>
    <w:rPr>
      <w:lang w:val="en-US"/>
    </w:rPr>
    <w:tblPr>
      <w:tblBorders>
        <w:bottom w:val="single" w:sz="4" w:space="0" w:color="auto"/>
        <w:insideH w:val="single" w:sz="4" w:space="0" w:color="auto"/>
      </w:tblBorders>
    </w:tblPr>
  </w:style>
  <w:style w:type="paragraph" w:customStyle="1" w:styleId="xlistfollowon">
    <w:name w:val="xlist follow on"/>
    <w:basedOn w:val="xlist"/>
    <w:qFormat/>
    <w:rsid w:val="00950C55"/>
    <w:pPr>
      <w:ind w:firstLine="0"/>
    </w:pPr>
  </w:style>
  <w:style w:type="paragraph" w:customStyle="1" w:styleId="xlist2followon">
    <w:name w:val="xlist 2 follow on"/>
    <w:basedOn w:val="xlistfollowon"/>
    <w:qFormat/>
    <w:rsid w:val="00950C55"/>
    <w:pPr>
      <w:ind w:left="907"/>
    </w:pPr>
  </w:style>
  <w:style w:type="paragraph" w:customStyle="1" w:styleId="xpagereference">
    <w:name w:val="xpage reference"/>
    <w:basedOn w:val="Normal"/>
    <w:qFormat/>
    <w:rsid w:val="0020342F"/>
    <w:pPr>
      <w:spacing w:before="60" w:after="60" w:line="276" w:lineRule="auto"/>
      <w:ind w:left="0" w:firstLine="0"/>
    </w:pPr>
    <w:rPr>
      <w:rFonts w:eastAsia="MS Gothic" w:cs="Times New Roman"/>
      <w:i/>
      <w:color w:val="7F7F7F" w:themeColor="text1" w:themeTint="80"/>
      <w:sz w:val="22"/>
      <w:szCs w:val="32"/>
      <w:lang w:val="en-US" w:eastAsia="en-AU"/>
    </w:rPr>
  </w:style>
  <w:style w:type="character" w:customStyle="1" w:styleId="xshortline">
    <w:name w:val="xshort line"/>
    <w:basedOn w:val="DefaultParagraphFont"/>
    <w:uiPriority w:val="1"/>
    <w:qFormat/>
    <w:rsid w:val="00950C55"/>
    <w:rPr>
      <w:u w:val="single"/>
      <w:lang w:eastAsia="en-AU"/>
    </w:rPr>
  </w:style>
  <w:style w:type="table" w:customStyle="1" w:styleId="xtablecolumn">
    <w:name w:val="xtable column"/>
    <w:basedOn w:val="TableNormal"/>
    <w:uiPriority w:val="99"/>
    <w:rsid w:val="00950C55"/>
    <w:pPr>
      <w:spacing w:after="0" w:line="240" w:lineRule="auto"/>
    </w:pPr>
    <w:rPr>
      <w:rFonts w:ascii="Arial" w:hAnsi="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8DB3E2" w:themeFill="text2" w:themeFillTint="66"/>
      </w:tcPr>
    </w:tblStylePr>
  </w:style>
  <w:style w:type="paragraph" w:customStyle="1" w:styleId="xtablerowhead">
    <w:name w:val="xtable row head"/>
    <w:basedOn w:val="xparafo"/>
    <w:autoRedefine/>
    <w:qFormat/>
    <w:rsid w:val="00950C55"/>
    <w:pPr>
      <w:spacing w:before="80"/>
    </w:pPr>
    <w:rPr>
      <w:b/>
      <w:bCs/>
      <w:color w:val="FFFFFF" w:themeColor="background1"/>
      <w:lang w:eastAsia="en-AU"/>
    </w:rPr>
  </w:style>
  <w:style w:type="paragraph" w:customStyle="1" w:styleId="xtablecolumnhead">
    <w:name w:val="xtable column head"/>
    <w:basedOn w:val="xtablerowhead"/>
    <w:qFormat/>
    <w:rsid w:val="00950C55"/>
    <w:pPr>
      <w:jc w:val="center"/>
    </w:pPr>
  </w:style>
  <w:style w:type="paragraph" w:customStyle="1" w:styleId="xtabletext">
    <w:name w:val="xtable text"/>
    <w:basedOn w:val="xparafo"/>
    <w:autoRedefine/>
    <w:qFormat/>
    <w:rsid w:val="00950C55"/>
    <w:pPr>
      <w:spacing w:before="60"/>
    </w:pPr>
  </w:style>
  <w:style w:type="paragraph" w:customStyle="1" w:styleId="xtablelist">
    <w:name w:val="xtable list"/>
    <w:basedOn w:val="xtabletext"/>
    <w:autoRedefine/>
    <w:qFormat/>
    <w:rsid w:val="00950C55"/>
    <w:pPr>
      <w:tabs>
        <w:tab w:val="left" w:pos="284"/>
      </w:tabs>
      <w:spacing w:before="40" w:after="40"/>
      <w:ind w:left="284" w:hanging="284"/>
    </w:pPr>
    <w:rPr>
      <w:lang w:eastAsia="en-AU"/>
    </w:rPr>
  </w:style>
  <w:style w:type="paragraph" w:customStyle="1" w:styleId="xtablelist2">
    <w:name w:val="xtable list 2"/>
    <w:basedOn w:val="xtablelist"/>
    <w:qFormat/>
    <w:rsid w:val="00950C55"/>
    <w:pPr>
      <w:ind w:left="568"/>
    </w:pPr>
  </w:style>
  <w:style w:type="paragraph" w:customStyle="1" w:styleId="xtablelist2answers">
    <w:name w:val="xtable list 2 answers"/>
    <w:basedOn w:val="xtablelist2"/>
    <w:qFormat/>
    <w:rsid w:val="000F6C08"/>
    <w:rPr>
      <w:color w:val="0070C0"/>
    </w:rPr>
  </w:style>
  <w:style w:type="paragraph" w:customStyle="1" w:styleId="xtablelist3">
    <w:name w:val="xtable list 3"/>
    <w:basedOn w:val="xtablelist2"/>
    <w:qFormat/>
    <w:rsid w:val="00950C55"/>
    <w:pPr>
      <w:ind w:left="851"/>
    </w:pPr>
  </w:style>
  <w:style w:type="paragraph" w:customStyle="1" w:styleId="xtablelist3answers">
    <w:name w:val="xtable list 3 answers"/>
    <w:basedOn w:val="xtablelist3"/>
    <w:qFormat/>
    <w:rsid w:val="000F6C08"/>
    <w:rPr>
      <w:color w:val="0070C0"/>
    </w:rPr>
  </w:style>
  <w:style w:type="paragraph" w:customStyle="1" w:styleId="xtablelistanswers">
    <w:name w:val="xtable list answers"/>
    <w:basedOn w:val="xtablelist"/>
    <w:qFormat/>
    <w:rsid w:val="000F6C08"/>
    <w:rPr>
      <w:color w:val="0070C0"/>
    </w:rPr>
  </w:style>
  <w:style w:type="table" w:customStyle="1" w:styleId="xtablerow">
    <w:name w:val="xtable row"/>
    <w:basedOn w:val="TableNormal"/>
    <w:uiPriority w:val="99"/>
    <w:rsid w:val="00950C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shd w:val="clear" w:color="auto" w:fill="8DB3E2" w:themeFill="text2" w:themeFillTint="66"/>
      </w:tcPr>
    </w:tblStylePr>
  </w:style>
  <w:style w:type="paragraph" w:customStyle="1" w:styleId="xtabletextanswers">
    <w:name w:val="xtable text answers"/>
    <w:basedOn w:val="xtabletext"/>
    <w:qFormat/>
    <w:rsid w:val="000F6C08"/>
    <w:rPr>
      <w:color w:val="0070C0"/>
      <w:lang w:eastAsia="en-AU"/>
    </w:rPr>
  </w:style>
  <w:style w:type="paragraph" w:customStyle="1" w:styleId="xtabletextdigits">
    <w:name w:val="xtable text digits"/>
    <w:basedOn w:val="xtabletext"/>
    <w:qFormat/>
    <w:rsid w:val="00950C55"/>
    <w:pPr>
      <w:jc w:val="right"/>
    </w:pPr>
  </w:style>
  <w:style w:type="paragraph" w:customStyle="1" w:styleId="xtabletextdigitsanswers">
    <w:name w:val="xtable text digits answers"/>
    <w:basedOn w:val="xtabletextdigits"/>
    <w:qFormat/>
    <w:rsid w:val="000F6C08"/>
    <w:rPr>
      <w:color w:val="0070C0"/>
    </w:rPr>
  </w:style>
  <w:style w:type="paragraph" w:customStyle="1" w:styleId="xauthorright">
    <w:name w:val="xauthor right"/>
    <w:basedOn w:val="xparafo"/>
    <w:qFormat/>
    <w:rsid w:val="002A7A35"/>
    <w:pPr>
      <w:jc w:val="right"/>
    </w:pPr>
    <w:rPr>
      <w:i/>
    </w:rPr>
  </w:style>
  <w:style w:type="paragraph" w:customStyle="1" w:styleId="xchead">
    <w:name w:val="xchead"/>
    <w:basedOn w:val="xbhead"/>
    <w:qFormat/>
    <w:rsid w:val="00994E7F"/>
    <w:pPr>
      <w:spacing w:before="240" w:after="120"/>
    </w:pPr>
    <w:rPr>
      <w:b w:val="0"/>
      <w:i/>
      <w:color w:val="auto"/>
      <w:sz w:val="22"/>
      <w:u w:val="single"/>
    </w:rPr>
  </w:style>
  <w:style w:type="paragraph" w:customStyle="1" w:styleId="xIRMhead">
    <w:name w:val="xIRM head"/>
    <w:basedOn w:val="Normal"/>
    <w:qFormat/>
    <w:rsid w:val="007101B9"/>
    <w:pPr>
      <w:spacing w:before="1440" w:after="200" w:line="276" w:lineRule="auto"/>
      <w:ind w:left="0" w:firstLine="0"/>
    </w:pPr>
    <w:rPr>
      <w:color w:val="365F91" w:themeColor="accent1" w:themeShade="BF"/>
      <w:sz w:val="56"/>
      <w:szCs w:val="56"/>
    </w:rPr>
  </w:style>
  <w:style w:type="paragraph" w:customStyle="1" w:styleId="xIRMbooktitle">
    <w:name w:val="xIRM book title"/>
    <w:basedOn w:val="Normal"/>
    <w:qFormat/>
    <w:rsid w:val="00D2015F"/>
    <w:pPr>
      <w:spacing w:before="240" w:line="276" w:lineRule="auto"/>
      <w:ind w:left="0" w:firstLine="0"/>
    </w:pPr>
    <w:rPr>
      <w:b/>
      <w:sz w:val="36"/>
      <w:szCs w:val="32"/>
      <w:lang w:val="en-US"/>
    </w:rPr>
  </w:style>
  <w:style w:type="paragraph" w:customStyle="1" w:styleId="xIRMinfo">
    <w:name w:val="xIRM info"/>
    <w:basedOn w:val="Normal"/>
    <w:qFormat/>
    <w:rsid w:val="00D2015F"/>
    <w:pPr>
      <w:spacing w:line="276" w:lineRule="auto"/>
      <w:ind w:left="0" w:firstLine="0"/>
    </w:pPr>
    <w:rPr>
      <w:sz w:val="28"/>
      <w:szCs w:val="28"/>
      <w:lang w:val="en-US"/>
    </w:rPr>
  </w:style>
  <w:style w:type="paragraph" w:customStyle="1" w:styleId="xcopyrightnotice">
    <w:name w:val="xcopyright notice"/>
    <w:basedOn w:val="Normal"/>
    <w:qFormat/>
    <w:rsid w:val="0075414A"/>
    <w:pPr>
      <w:spacing w:line="276" w:lineRule="auto"/>
      <w:ind w:left="0" w:firstLine="0"/>
    </w:pPr>
    <w:rPr>
      <w:lang w:val="en-US"/>
    </w:rPr>
  </w:style>
  <w:style w:type="character" w:styleId="CommentReference">
    <w:name w:val="annotation reference"/>
    <w:semiHidden/>
    <w:rsid w:val="00702D17"/>
    <w:rPr>
      <w:sz w:val="16"/>
      <w:szCs w:val="16"/>
    </w:rPr>
  </w:style>
  <w:style w:type="paragraph" w:styleId="CommentText">
    <w:name w:val="annotation text"/>
    <w:basedOn w:val="Normal"/>
    <w:link w:val="CommentTextChar"/>
    <w:semiHidden/>
    <w:rsid w:val="00702D17"/>
    <w:pPr>
      <w:spacing w:before="0" w:after="0" w:line="240" w:lineRule="auto"/>
      <w:ind w:left="0" w:firstLine="0"/>
    </w:pPr>
    <w:rPr>
      <w:rFonts w:eastAsia="Times New Roman" w:cs="Arial"/>
      <w:szCs w:val="20"/>
    </w:rPr>
  </w:style>
  <w:style w:type="character" w:customStyle="1" w:styleId="CommentTextChar">
    <w:name w:val="Comment Text Char"/>
    <w:basedOn w:val="DefaultParagraphFont"/>
    <w:link w:val="CommentText"/>
    <w:semiHidden/>
    <w:rsid w:val="00702D17"/>
    <w:rPr>
      <w:rFonts w:ascii="Arial" w:eastAsia="Times New Roman" w:hAnsi="Arial" w:cs="Arial"/>
      <w:sz w:val="20"/>
      <w:szCs w:val="20"/>
    </w:rPr>
  </w:style>
  <w:style w:type="character" w:customStyle="1" w:styleId="Heading1Char">
    <w:name w:val="Heading 1 Char"/>
    <w:basedOn w:val="DefaultParagraphFont"/>
    <w:link w:val="Heading1"/>
    <w:uiPriority w:val="9"/>
    <w:rsid w:val="009E466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E466F"/>
    <w:rPr>
      <w:rFonts w:asciiTheme="majorHAnsi" w:eastAsiaTheme="majorEastAsia" w:hAnsiTheme="majorHAnsi" w:cstheme="majorBidi"/>
      <w:color w:val="365F91" w:themeColor="accent1" w:themeShade="BF"/>
      <w:sz w:val="26"/>
      <w:szCs w:val="26"/>
    </w:rPr>
  </w:style>
  <w:style w:type="paragraph" w:styleId="TOC2">
    <w:name w:val="toc 2"/>
    <w:aliases w:val="xcontents chapter"/>
    <w:basedOn w:val="Normal"/>
    <w:next w:val="Normal"/>
    <w:autoRedefine/>
    <w:uiPriority w:val="39"/>
    <w:unhideWhenUsed/>
    <w:rsid w:val="0007352D"/>
    <w:pPr>
      <w:tabs>
        <w:tab w:val="right" w:leader="dot" w:pos="10456"/>
      </w:tabs>
      <w:spacing w:after="100"/>
    </w:pPr>
    <w:rPr>
      <w:rFonts w:ascii="Times New Roman" w:hAnsi="Times New Roman"/>
      <w:sz w:val="22"/>
    </w:rPr>
  </w:style>
  <w:style w:type="paragraph" w:customStyle="1" w:styleId="xpartnumber">
    <w:name w:val="xpart number"/>
    <w:basedOn w:val="Normal"/>
    <w:rsid w:val="00702D17"/>
    <w:pPr>
      <w:spacing w:before="0" w:after="0" w:line="360" w:lineRule="auto"/>
      <w:ind w:left="0" w:firstLine="0"/>
      <w:jc w:val="center"/>
    </w:pPr>
    <w:rPr>
      <w:rFonts w:eastAsia="Times New Roman" w:cs="Times New Roman"/>
      <w:sz w:val="40"/>
      <w:szCs w:val="20"/>
      <w:lang w:eastAsia="en-AU"/>
    </w:rPr>
  </w:style>
  <w:style w:type="paragraph" w:styleId="TOC1">
    <w:name w:val="toc 1"/>
    <w:aliases w:val="xcontents part"/>
    <w:basedOn w:val="Normal"/>
    <w:next w:val="Normal"/>
    <w:autoRedefine/>
    <w:uiPriority w:val="39"/>
    <w:unhideWhenUsed/>
    <w:rsid w:val="0007352D"/>
    <w:pPr>
      <w:tabs>
        <w:tab w:val="right" w:leader="dot" w:pos="10456"/>
      </w:tabs>
      <w:spacing w:after="100"/>
    </w:pPr>
    <w:rPr>
      <w:b/>
      <w:sz w:val="22"/>
    </w:rPr>
  </w:style>
  <w:style w:type="character" w:customStyle="1" w:styleId="xparaChar">
    <w:name w:val="xpara Char"/>
    <w:link w:val="xpara"/>
    <w:rsid w:val="00702D17"/>
    <w:rPr>
      <w:rFonts w:ascii="Times New Roman" w:hAnsi="Times New Roman" w:cs="Arial"/>
    </w:rPr>
  </w:style>
  <w:style w:type="character" w:styleId="Hyperlink">
    <w:name w:val="Hyperlink"/>
    <w:basedOn w:val="DefaultParagraphFont"/>
    <w:uiPriority w:val="99"/>
    <w:unhideWhenUsed/>
    <w:rsid w:val="009E466F"/>
    <w:rPr>
      <w:color w:val="0000FF" w:themeColor="hyperlink"/>
      <w:u w:val="single"/>
    </w:rPr>
  </w:style>
  <w:style w:type="paragraph" w:customStyle="1" w:styleId="xIRMedition">
    <w:name w:val="xIRM edition"/>
    <w:basedOn w:val="xIRMinfo"/>
    <w:qFormat/>
    <w:rsid w:val="00D2015F"/>
    <w:pPr>
      <w:spacing w:before="0"/>
    </w:pPr>
    <w:rPr>
      <w:i/>
    </w:rPr>
  </w:style>
  <w:style w:type="paragraph" w:styleId="BodyText">
    <w:name w:val="Body Text"/>
    <w:basedOn w:val="Normal"/>
    <w:link w:val="BodyTextChar"/>
    <w:uiPriority w:val="99"/>
    <w:unhideWhenUsed/>
    <w:rsid w:val="00702D17"/>
  </w:style>
  <w:style w:type="character" w:customStyle="1" w:styleId="BodyTextChar">
    <w:name w:val="Body Text Char"/>
    <w:basedOn w:val="DefaultParagraphFont"/>
    <w:link w:val="BodyText"/>
    <w:uiPriority w:val="99"/>
    <w:rsid w:val="00702D17"/>
    <w:rPr>
      <w:rFonts w:ascii="Arial" w:hAnsi="Arial"/>
      <w:sz w:val="20"/>
    </w:rPr>
  </w:style>
  <w:style w:type="paragraph" w:styleId="CommentSubject">
    <w:name w:val="annotation subject"/>
    <w:basedOn w:val="CommentText"/>
    <w:next w:val="CommentText"/>
    <w:link w:val="CommentSubjectChar"/>
    <w:uiPriority w:val="99"/>
    <w:semiHidden/>
    <w:unhideWhenUsed/>
    <w:rsid w:val="00441EE4"/>
    <w:pPr>
      <w:spacing w:before="120" w:after="120"/>
      <w:ind w:left="340" w:hanging="340"/>
    </w:pPr>
    <w:rPr>
      <w:rFonts w:eastAsiaTheme="minorHAnsi" w:cstheme="minorBidi"/>
      <w:b/>
      <w:bCs/>
    </w:rPr>
  </w:style>
  <w:style w:type="character" w:customStyle="1" w:styleId="CommentSubjectChar">
    <w:name w:val="Comment Subject Char"/>
    <w:basedOn w:val="CommentTextChar"/>
    <w:link w:val="CommentSubject"/>
    <w:uiPriority w:val="99"/>
    <w:semiHidden/>
    <w:rsid w:val="00441EE4"/>
    <w:rPr>
      <w:rFonts w:ascii="Arial" w:eastAsia="Times New Roman" w:hAnsi="Arial" w:cs="Arial"/>
      <w:b/>
      <w:bCs/>
      <w:sz w:val="20"/>
      <w:szCs w:val="20"/>
    </w:rPr>
  </w:style>
  <w:style w:type="paragraph" w:styleId="NormalWeb">
    <w:name w:val="Normal (Web)"/>
    <w:basedOn w:val="Normal"/>
    <w:uiPriority w:val="99"/>
    <w:semiHidden/>
    <w:unhideWhenUsed/>
    <w:rsid w:val="00C82A9E"/>
    <w:pPr>
      <w:spacing w:before="100" w:beforeAutospacing="1" w:after="100" w:afterAutospacing="1" w:line="240" w:lineRule="auto"/>
      <w:ind w:left="0" w:firstLine="0"/>
    </w:pPr>
    <w:rPr>
      <w:rFonts w:ascii="Times New Roman" w:eastAsia="Times New Roman" w:hAnsi="Times New Roman" w:cs="Times New Roman"/>
      <w:sz w:val="24"/>
      <w:szCs w:val="24"/>
      <w:lang w:eastAsia="en-AU"/>
    </w:rPr>
  </w:style>
  <w:style w:type="paragraph" w:customStyle="1" w:styleId="Default">
    <w:name w:val="Default"/>
    <w:rsid w:val="00F76F6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76F61"/>
    <w:pPr>
      <w:spacing w:before="0" w:after="200" w:line="240" w:lineRule="auto"/>
      <w:ind w:left="720" w:firstLine="0"/>
      <w:contextualSpacing/>
    </w:pPr>
    <w:rPr>
      <w:rFonts w:ascii="Calibri" w:eastAsia="Cambria" w:hAnsi="Calibri" w:cs="Times New Roman"/>
      <w:sz w:val="24"/>
      <w:szCs w:val="24"/>
    </w:rPr>
  </w:style>
  <w:style w:type="paragraph" w:styleId="FootnoteText">
    <w:name w:val="footnote text"/>
    <w:basedOn w:val="Normal"/>
    <w:link w:val="FootnoteTextChar"/>
    <w:uiPriority w:val="99"/>
    <w:semiHidden/>
    <w:unhideWhenUsed/>
    <w:rsid w:val="008576F8"/>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8576F8"/>
    <w:rPr>
      <w:rFonts w:ascii="Arial" w:hAnsi="Arial"/>
      <w:sz w:val="20"/>
      <w:szCs w:val="20"/>
    </w:rPr>
  </w:style>
  <w:style w:type="character" w:styleId="FootnoteReference">
    <w:name w:val="footnote reference"/>
    <w:basedOn w:val="DefaultParagraphFont"/>
    <w:uiPriority w:val="99"/>
    <w:semiHidden/>
    <w:unhideWhenUsed/>
    <w:rsid w:val="008576F8"/>
    <w:rPr>
      <w:vertAlign w:val="superscript"/>
    </w:rPr>
  </w:style>
  <w:style w:type="character" w:customStyle="1" w:styleId="lrzxr">
    <w:name w:val="lrzxr"/>
    <w:basedOn w:val="DefaultParagraphFont"/>
    <w:rsid w:val="00BB61BB"/>
  </w:style>
  <w:style w:type="paragraph" w:customStyle="1" w:styleId="P">
    <w:name w:val="P"/>
    <w:basedOn w:val="Normal"/>
    <w:rsid w:val="003662E5"/>
    <w:pPr>
      <w:overflowPunct w:val="0"/>
      <w:autoSpaceDE w:val="0"/>
      <w:autoSpaceDN w:val="0"/>
      <w:adjustRightInd w:val="0"/>
      <w:ind w:left="0" w:firstLine="0"/>
      <w:jc w:val="both"/>
    </w:pPr>
    <w:rPr>
      <w:rFonts w:eastAsia="Times New Roman" w:cs="Times New Roman"/>
      <w:sz w:val="24"/>
      <w:szCs w:val="20"/>
    </w:rPr>
  </w:style>
  <w:style w:type="paragraph" w:styleId="Revision">
    <w:name w:val="Revision"/>
    <w:hidden/>
    <w:uiPriority w:val="99"/>
    <w:semiHidden/>
    <w:rsid w:val="00F84178"/>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3495">
      <w:bodyDiv w:val="1"/>
      <w:marLeft w:val="0"/>
      <w:marRight w:val="0"/>
      <w:marTop w:val="0"/>
      <w:marBottom w:val="0"/>
      <w:divBdr>
        <w:top w:val="none" w:sz="0" w:space="0" w:color="auto"/>
        <w:left w:val="none" w:sz="0" w:space="0" w:color="auto"/>
        <w:bottom w:val="none" w:sz="0" w:space="0" w:color="auto"/>
        <w:right w:val="none" w:sz="0" w:space="0" w:color="auto"/>
      </w:divBdr>
    </w:div>
    <w:div w:id="88888243">
      <w:bodyDiv w:val="1"/>
      <w:marLeft w:val="0"/>
      <w:marRight w:val="0"/>
      <w:marTop w:val="0"/>
      <w:marBottom w:val="0"/>
      <w:divBdr>
        <w:top w:val="none" w:sz="0" w:space="0" w:color="auto"/>
        <w:left w:val="none" w:sz="0" w:space="0" w:color="auto"/>
        <w:bottom w:val="none" w:sz="0" w:space="0" w:color="auto"/>
        <w:right w:val="none" w:sz="0" w:space="0" w:color="auto"/>
      </w:divBdr>
    </w:div>
    <w:div w:id="259223278">
      <w:bodyDiv w:val="1"/>
      <w:marLeft w:val="0"/>
      <w:marRight w:val="0"/>
      <w:marTop w:val="0"/>
      <w:marBottom w:val="0"/>
      <w:divBdr>
        <w:top w:val="none" w:sz="0" w:space="0" w:color="auto"/>
        <w:left w:val="none" w:sz="0" w:space="0" w:color="auto"/>
        <w:bottom w:val="none" w:sz="0" w:space="0" w:color="auto"/>
        <w:right w:val="none" w:sz="0" w:space="0" w:color="auto"/>
      </w:divBdr>
    </w:div>
    <w:div w:id="306937843">
      <w:bodyDiv w:val="1"/>
      <w:marLeft w:val="0"/>
      <w:marRight w:val="0"/>
      <w:marTop w:val="0"/>
      <w:marBottom w:val="0"/>
      <w:divBdr>
        <w:top w:val="none" w:sz="0" w:space="0" w:color="auto"/>
        <w:left w:val="none" w:sz="0" w:space="0" w:color="auto"/>
        <w:bottom w:val="none" w:sz="0" w:space="0" w:color="auto"/>
        <w:right w:val="none" w:sz="0" w:space="0" w:color="auto"/>
      </w:divBdr>
    </w:div>
    <w:div w:id="313801152">
      <w:bodyDiv w:val="1"/>
      <w:marLeft w:val="0"/>
      <w:marRight w:val="0"/>
      <w:marTop w:val="0"/>
      <w:marBottom w:val="0"/>
      <w:divBdr>
        <w:top w:val="none" w:sz="0" w:space="0" w:color="auto"/>
        <w:left w:val="none" w:sz="0" w:space="0" w:color="auto"/>
        <w:bottom w:val="none" w:sz="0" w:space="0" w:color="auto"/>
        <w:right w:val="none" w:sz="0" w:space="0" w:color="auto"/>
      </w:divBdr>
    </w:div>
    <w:div w:id="400449836">
      <w:bodyDiv w:val="1"/>
      <w:marLeft w:val="0"/>
      <w:marRight w:val="0"/>
      <w:marTop w:val="0"/>
      <w:marBottom w:val="0"/>
      <w:divBdr>
        <w:top w:val="none" w:sz="0" w:space="0" w:color="auto"/>
        <w:left w:val="none" w:sz="0" w:space="0" w:color="auto"/>
        <w:bottom w:val="none" w:sz="0" w:space="0" w:color="auto"/>
        <w:right w:val="none" w:sz="0" w:space="0" w:color="auto"/>
      </w:divBdr>
    </w:div>
    <w:div w:id="441998714">
      <w:bodyDiv w:val="1"/>
      <w:marLeft w:val="0"/>
      <w:marRight w:val="0"/>
      <w:marTop w:val="0"/>
      <w:marBottom w:val="0"/>
      <w:divBdr>
        <w:top w:val="none" w:sz="0" w:space="0" w:color="auto"/>
        <w:left w:val="none" w:sz="0" w:space="0" w:color="auto"/>
        <w:bottom w:val="none" w:sz="0" w:space="0" w:color="auto"/>
        <w:right w:val="none" w:sz="0" w:space="0" w:color="auto"/>
      </w:divBdr>
    </w:div>
    <w:div w:id="479004312">
      <w:bodyDiv w:val="1"/>
      <w:marLeft w:val="0"/>
      <w:marRight w:val="0"/>
      <w:marTop w:val="0"/>
      <w:marBottom w:val="0"/>
      <w:divBdr>
        <w:top w:val="none" w:sz="0" w:space="0" w:color="auto"/>
        <w:left w:val="none" w:sz="0" w:space="0" w:color="auto"/>
        <w:bottom w:val="none" w:sz="0" w:space="0" w:color="auto"/>
        <w:right w:val="none" w:sz="0" w:space="0" w:color="auto"/>
      </w:divBdr>
    </w:div>
    <w:div w:id="485780699">
      <w:bodyDiv w:val="1"/>
      <w:marLeft w:val="0"/>
      <w:marRight w:val="0"/>
      <w:marTop w:val="0"/>
      <w:marBottom w:val="0"/>
      <w:divBdr>
        <w:top w:val="none" w:sz="0" w:space="0" w:color="auto"/>
        <w:left w:val="none" w:sz="0" w:space="0" w:color="auto"/>
        <w:bottom w:val="none" w:sz="0" w:space="0" w:color="auto"/>
        <w:right w:val="none" w:sz="0" w:space="0" w:color="auto"/>
      </w:divBdr>
    </w:div>
    <w:div w:id="572201206">
      <w:bodyDiv w:val="1"/>
      <w:marLeft w:val="0"/>
      <w:marRight w:val="0"/>
      <w:marTop w:val="0"/>
      <w:marBottom w:val="0"/>
      <w:divBdr>
        <w:top w:val="none" w:sz="0" w:space="0" w:color="auto"/>
        <w:left w:val="none" w:sz="0" w:space="0" w:color="auto"/>
        <w:bottom w:val="none" w:sz="0" w:space="0" w:color="auto"/>
        <w:right w:val="none" w:sz="0" w:space="0" w:color="auto"/>
      </w:divBdr>
    </w:div>
    <w:div w:id="682629118">
      <w:bodyDiv w:val="1"/>
      <w:marLeft w:val="0"/>
      <w:marRight w:val="0"/>
      <w:marTop w:val="0"/>
      <w:marBottom w:val="0"/>
      <w:divBdr>
        <w:top w:val="none" w:sz="0" w:space="0" w:color="auto"/>
        <w:left w:val="none" w:sz="0" w:space="0" w:color="auto"/>
        <w:bottom w:val="none" w:sz="0" w:space="0" w:color="auto"/>
        <w:right w:val="none" w:sz="0" w:space="0" w:color="auto"/>
      </w:divBdr>
    </w:div>
    <w:div w:id="795761524">
      <w:bodyDiv w:val="1"/>
      <w:marLeft w:val="0"/>
      <w:marRight w:val="0"/>
      <w:marTop w:val="0"/>
      <w:marBottom w:val="0"/>
      <w:divBdr>
        <w:top w:val="none" w:sz="0" w:space="0" w:color="auto"/>
        <w:left w:val="none" w:sz="0" w:space="0" w:color="auto"/>
        <w:bottom w:val="none" w:sz="0" w:space="0" w:color="auto"/>
        <w:right w:val="none" w:sz="0" w:space="0" w:color="auto"/>
      </w:divBdr>
    </w:div>
    <w:div w:id="821198816">
      <w:bodyDiv w:val="1"/>
      <w:marLeft w:val="0"/>
      <w:marRight w:val="0"/>
      <w:marTop w:val="0"/>
      <w:marBottom w:val="0"/>
      <w:divBdr>
        <w:top w:val="none" w:sz="0" w:space="0" w:color="auto"/>
        <w:left w:val="none" w:sz="0" w:space="0" w:color="auto"/>
        <w:bottom w:val="none" w:sz="0" w:space="0" w:color="auto"/>
        <w:right w:val="none" w:sz="0" w:space="0" w:color="auto"/>
      </w:divBdr>
    </w:div>
    <w:div w:id="877548900">
      <w:bodyDiv w:val="1"/>
      <w:marLeft w:val="0"/>
      <w:marRight w:val="0"/>
      <w:marTop w:val="0"/>
      <w:marBottom w:val="0"/>
      <w:divBdr>
        <w:top w:val="none" w:sz="0" w:space="0" w:color="auto"/>
        <w:left w:val="none" w:sz="0" w:space="0" w:color="auto"/>
        <w:bottom w:val="none" w:sz="0" w:space="0" w:color="auto"/>
        <w:right w:val="none" w:sz="0" w:space="0" w:color="auto"/>
      </w:divBdr>
    </w:div>
    <w:div w:id="933320363">
      <w:bodyDiv w:val="1"/>
      <w:marLeft w:val="0"/>
      <w:marRight w:val="0"/>
      <w:marTop w:val="0"/>
      <w:marBottom w:val="0"/>
      <w:divBdr>
        <w:top w:val="none" w:sz="0" w:space="0" w:color="auto"/>
        <w:left w:val="none" w:sz="0" w:space="0" w:color="auto"/>
        <w:bottom w:val="none" w:sz="0" w:space="0" w:color="auto"/>
        <w:right w:val="none" w:sz="0" w:space="0" w:color="auto"/>
      </w:divBdr>
    </w:div>
    <w:div w:id="944072722">
      <w:bodyDiv w:val="1"/>
      <w:marLeft w:val="0"/>
      <w:marRight w:val="0"/>
      <w:marTop w:val="0"/>
      <w:marBottom w:val="0"/>
      <w:divBdr>
        <w:top w:val="none" w:sz="0" w:space="0" w:color="auto"/>
        <w:left w:val="none" w:sz="0" w:space="0" w:color="auto"/>
        <w:bottom w:val="none" w:sz="0" w:space="0" w:color="auto"/>
        <w:right w:val="none" w:sz="0" w:space="0" w:color="auto"/>
      </w:divBdr>
    </w:div>
    <w:div w:id="968707004">
      <w:bodyDiv w:val="1"/>
      <w:marLeft w:val="0"/>
      <w:marRight w:val="0"/>
      <w:marTop w:val="0"/>
      <w:marBottom w:val="0"/>
      <w:divBdr>
        <w:top w:val="none" w:sz="0" w:space="0" w:color="auto"/>
        <w:left w:val="none" w:sz="0" w:space="0" w:color="auto"/>
        <w:bottom w:val="none" w:sz="0" w:space="0" w:color="auto"/>
        <w:right w:val="none" w:sz="0" w:space="0" w:color="auto"/>
      </w:divBdr>
    </w:div>
    <w:div w:id="975721641">
      <w:bodyDiv w:val="1"/>
      <w:marLeft w:val="0"/>
      <w:marRight w:val="0"/>
      <w:marTop w:val="0"/>
      <w:marBottom w:val="0"/>
      <w:divBdr>
        <w:top w:val="none" w:sz="0" w:space="0" w:color="auto"/>
        <w:left w:val="none" w:sz="0" w:space="0" w:color="auto"/>
        <w:bottom w:val="none" w:sz="0" w:space="0" w:color="auto"/>
        <w:right w:val="none" w:sz="0" w:space="0" w:color="auto"/>
      </w:divBdr>
    </w:div>
    <w:div w:id="1044598542">
      <w:bodyDiv w:val="1"/>
      <w:marLeft w:val="0"/>
      <w:marRight w:val="0"/>
      <w:marTop w:val="0"/>
      <w:marBottom w:val="0"/>
      <w:divBdr>
        <w:top w:val="none" w:sz="0" w:space="0" w:color="auto"/>
        <w:left w:val="none" w:sz="0" w:space="0" w:color="auto"/>
        <w:bottom w:val="none" w:sz="0" w:space="0" w:color="auto"/>
        <w:right w:val="none" w:sz="0" w:space="0" w:color="auto"/>
      </w:divBdr>
    </w:div>
    <w:div w:id="1101489660">
      <w:bodyDiv w:val="1"/>
      <w:marLeft w:val="0"/>
      <w:marRight w:val="0"/>
      <w:marTop w:val="0"/>
      <w:marBottom w:val="0"/>
      <w:divBdr>
        <w:top w:val="none" w:sz="0" w:space="0" w:color="auto"/>
        <w:left w:val="none" w:sz="0" w:space="0" w:color="auto"/>
        <w:bottom w:val="none" w:sz="0" w:space="0" w:color="auto"/>
        <w:right w:val="none" w:sz="0" w:space="0" w:color="auto"/>
      </w:divBdr>
    </w:div>
    <w:div w:id="1101606423">
      <w:bodyDiv w:val="1"/>
      <w:marLeft w:val="0"/>
      <w:marRight w:val="0"/>
      <w:marTop w:val="0"/>
      <w:marBottom w:val="0"/>
      <w:divBdr>
        <w:top w:val="none" w:sz="0" w:space="0" w:color="auto"/>
        <w:left w:val="none" w:sz="0" w:space="0" w:color="auto"/>
        <w:bottom w:val="none" w:sz="0" w:space="0" w:color="auto"/>
        <w:right w:val="none" w:sz="0" w:space="0" w:color="auto"/>
      </w:divBdr>
    </w:div>
    <w:div w:id="1235239196">
      <w:bodyDiv w:val="1"/>
      <w:marLeft w:val="0"/>
      <w:marRight w:val="0"/>
      <w:marTop w:val="0"/>
      <w:marBottom w:val="0"/>
      <w:divBdr>
        <w:top w:val="none" w:sz="0" w:space="0" w:color="auto"/>
        <w:left w:val="none" w:sz="0" w:space="0" w:color="auto"/>
        <w:bottom w:val="none" w:sz="0" w:space="0" w:color="auto"/>
        <w:right w:val="none" w:sz="0" w:space="0" w:color="auto"/>
      </w:divBdr>
    </w:div>
    <w:div w:id="1320840876">
      <w:bodyDiv w:val="1"/>
      <w:marLeft w:val="0"/>
      <w:marRight w:val="0"/>
      <w:marTop w:val="0"/>
      <w:marBottom w:val="0"/>
      <w:divBdr>
        <w:top w:val="none" w:sz="0" w:space="0" w:color="auto"/>
        <w:left w:val="none" w:sz="0" w:space="0" w:color="auto"/>
        <w:bottom w:val="none" w:sz="0" w:space="0" w:color="auto"/>
        <w:right w:val="none" w:sz="0" w:space="0" w:color="auto"/>
      </w:divBdr>
    </w:div>
    <w:div w:id="1349016847">
      <w:bodyDiv w:val="1"/>
      <w:marLeft w:val="0"/>
      <w:marRight w:val="0"/>
      <w:marTop w:val="0"/>
      <w:marBottom w:val="0"/>
      <w:divBdr>
        <w:top w:val="none" w:sz="0" w:space="0" w:color="auto"/>
        <w:left w:val="none" w:sz="0" w:space="0" w:color="auto"/>
        <w:bottom w:val="none" w:sz="0" w:space="0" w:color="auto"/>
        <w:right w:val="none" w:sz="0" w:space="0" w:color="auto"/>
      </w:divBdr>
    </w:div>
    <w:div w:id="1564213374">
      <w:bodyDiv w:val="1"/>
      <w:marLeft w:val="0"/>
      <w:marRight w:val="0"/>
      <w:marTop w:val="0"/>
      <w:marBottom w:val="0"/>
      <w:divBdr>
        <w:top w:val="none" w:sz="0" w:space="0" w:color="auto"/>
        <w:left w:val="none" w:sz="0" w:space="0" w:color="auto"/>
        <w:bottom w:val="none" w:sz="0" w:space="0" w:color="auto"/>
        <w:right w:val="none" w:sz="0" w:space="0" w:color="auto"/>
      </w:divBdr>
    </w:div>
    <w:div w:id="1595236544">
      <w:bodyDiv w:val="1"/>
      <w:marLeft w:val="0"/>
      <w:marRight w:val="0"/>
      <w:marTop w:val="0"/>
      <w:marBottom w:val="0"/>
      <w:divBdr>
        <w:top w:val="none" w:sz="0" w:space="0" w:color="auto"/>
        <w:left w:val="none" w:sz="0" w:space="0" w:color="auto"/>
        <w:bottom w:val="none" w:sz="0" w:space="0" w:color="auto"/>
        <w:right w:val="none" w:sz="0" w:space="0" w:color="auto"/>
      </w:divBdr>
    </w:div>
    <w:div w:id="1686856787">
      <w:bodyDiv w:val="1"/>
      <w:marLeft w:val="0"/>
      <w:marRight w:val="0"/>
      <w:marTop w:val="0"/>
      <w:marBottom w:val="0"/>
      <w:divBdr>
        <w:top w:val="none" w:sz="0" w:space="0" w:color="auto"/>
        <w:left w:val="none" w:sz="0" w:space="0" w:color="auto"/>
        <w:bottom w:val="none" w:sz="0" w:space="0" w:color="auto"/>
        <w:right w:val="none" w:sz="0" w:space="0" w:color="auto"/>
      </w:divBdr>
    </w:div>
    <w:div w:id="1920363328">
      <w:bodyDiv w:val="1"/>
      <w:marLeft w:val="0"/>
      <w:marRight w:val="0"/>
      <w:marTop w:val="0"/>
      <w:marBottom w:val="0"/>
      <w:divBdr>
        <w:top w:val="none" w:sz="0" w:space="0" w:color="auto"/>
        <w:left w:val="none" w:sz="0" w:space="0" w:color="auto"/>
        <w:bottom w:val="none" w:sz="0" w:space="0" w:color="auto"/>
        <w:right w:val="none" w:sz="0" w:space="0" w:color="auto"/>
      </w:divBdr>
    </w:div>
    <w:div w:id="1970747031">
      <w:bodyDiv w:val="1"/>
      <w:marLeft w:val="0"/>
      <w:marRight w:val="0"/>
      <w:marTop w:val="0"/>
      <w:marBottom w:val="0"/>
      <w:divBdr>
        <w:top w:val="none" w:sz="0" w:space="0" w:color="auto"/>
        <w:left w:val="none" w:sz="0" w:space="0" w:color="auto"/>
        <w:bottom w:val="none" w:sz="0" w:space="0" w:color="auto"/>
        <w:right w:val="none" w:sz="0" w:space="0" w:color="auto"/>
      </w:divBdr>
    </w:div>
    <w:div w:id="1981499036">
      <w:bodyDiv w:val="1"/>
      <w:marLeft w:val="0"/>
      <w:marRight w:val="0"/>
      <w:marTop w:val="0"/>
      <w:marBottom w:val="0"/>
      <w:divBdr>
        <w:top w:val="none" w:sz="0" w:space="0" w:color="auto"/>
        <w:left w:val="none" w:sz="0" w:space="0" w:color="auto"/>
        <w:bottom w:val="none" w:sz="0" w:space="0" w:color="auto"/>
        <w:right w:val="none" w:sz="0" w:space="0" w:color="auto"/>
      </w:divBdr>
    </w:div>
    <w:div w:id="2027363630">
      <w:bodyDiv w:val="1"/>
      <w:marLeft w:val="0"/>
      <w:marRight w:val="0"/>
      <w:marTop w:val="0"/>
      <w:marBottom w:val="0"/>
      <w:divBdr>
        <w:top w:val="none" w:sz="0" w:space="0" w:color="auto"/>
        <w:left w:val="none" w:sz="0" w:space="0" w:color="auto"/>
        <w:bottom w:val="none" w:sz="0" w:space="0" w:color="auto"/>
        <w:right w:val="none" w:sz="0" w:space="0" w:color="auto"/>
      </w:divBdr>
    </w:div>
    <w:div w:id="211412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F4A8B6EFA9C74A929C1691FA89ACA2" ma:contentTypeVersion="15" ma:contentTypeDescription="Create a new document." ma:contentTypeScope="" ma:versionID="59c3e2a32058ddc2fa9f9f3245ace67b">
  <xsd:schema xmlns:xsd="http://www.w3.org/2001/XMLSchema" xmlns:xs="http://www.w3.org/2001/XMLSchema" xmlns:p="http://schemas.microsoft.com/office/2006/metadata/properties" xmlns:ns1="http://schemas.microsoft.com/sharepoint/v3" xmlns:ns2="86c803ff-60ea-4821-8561-49a30c846f16" xmlns:ns3="23021986-1927-41b2-ad02-75262291dab9" targetNamespace="http://schemas.microsoft.com/office/2006/metadata/properties" ma:root="true" ma:fieldsID="e6b7d3ddbcf565b83c0955bcb578e3f4" ns1:_="" ns2:_="" ns3:_="">
    <xsd:import namespace="http://schemas.microsoft.com/sharepoint/v3"/>
    <xsd:import namespace="86c803ff-60ea-4821-8561-49a30c846f16"/>
    <xsd:import namespace="23021986-1927-41b2-ad02-75262291da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803ff-60ea-4821-8561-49a30c846f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21986-1927-41b2-ad02-75262291da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C2250-D2CB-4AD5-A5C3-A5C0A3E23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803ff-60ea-4821-8561-49a30c846f16"/>
    <ds:schemaRef ds:uri="23021986-1927-41b2-ad02-75262291d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DF2F5-8F67-4F35-93F3-D3959423501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3D316EF-1153-49C3-AEEA-A89F43312AB8}">
  <ds:schemaRefs>
    <ds:schemaRef ds:uri="http://schemas.microsoft.com/sharepoint/v3/contenttype/forms"/>
  </ds:schemaRefs>
</ds:datastoreItem>
</file>

<file path=customXml/itemProps4.xml><?xml version="1.0" encoding="utf-8"?>
<ds:datastoreItem xmlns:ds="http://schemas.openxmlformats.org/officeDocument/2006/customXml" ds:itemID="{E8D10E50-0703-41E0-BA38-A21430973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Ciaran</dc:creator>
  <cp:keywords/>
  <dc:description/>
  <cp:lastModifiedBy>COOPER, Emma</cp:lastModifiedBy>
  <cp:revision>3</cp:revision>
  <dcterms:created xsi:type="dcterms:W3CDTF">2022-02-01T22:41:00Z</dcterms:created>
  <dcterms:modified xsi:type="dcterms:W3CDTF">2022-02-01T22:43:00Z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0x0101006DF4A8B6EFA9C74A929C1691FA89ACA2</vt:lpwstr>
  </property>
  <property fmtid="{D5CDD505-2E9C-101B-9397-08002B2CF9AE}" pid="3" name="Order">
    <vt:r8>5100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be5cb09a-2992-49d6-8ac9-5f63e7b1ad2f_Enabled">
    <vt:lpwstr>true</vt:lpwstr>
  </property>
  <property fmtid="{D5CDD505-2E9C-101B-9397-08002B2CF9AE}" pid="9" name="MSIP_Label_be5cb09a-2992-49d6-8ac9-5f63e7b1ad2f_SetDate">
    <vt:lpwstr>2021-05-11T01:26:30Z</vt:lpwstr>
  </property>
  <property fmtid="{D5CDD505-2E9C-101B-9397-08002B2CF9AE}" pid="10" name="MSIP_Label_be5cb09a-2992-49d6-8ac9-5f63e7b1ad2f_Method">
    <vt:lpwstr>Standard</vt:lpwstr>
  </property>
  <property fmtid="{D5CDD505-2E9C-101B-9397-08002B2CF9AE}" pid="11" name="MSIP_Label_be5cb09a-2992-49d6-8ac9-5f63e7b1ad2f_Name">
    <vt:lpwstr>Controlled</vt:lpwstr>
  </property>
  <property fmtid="{D5CDD505-2E9C-101B-9397-08002B2CF9AE}" pid="12" name="MSIP_Label_be5cb09a-2992-49d6-8ac9-5f63e7b1ad2f_SiteId">
    <vt:lpwstr>91761b62-4c45-43f5-9f0e-be8ad9b551ff</vt:lpwstr>
  </property>
  <property fmtid="{D5CDD505-2E9C-101B-9397-08002B2CF9AE}" pid="13" name="MSIP_Label_be5cb09a-2992-49d6-8ac9-5f63e7b1ad2f_ActionId">
    <vt:lpwstr>6d4df1ef-8c0f-4460-a414-00002f4e0c78</vt:lpwstr>
  </property>
  <property fmtid="{D5CDD505-2E9C-101B-9397-08002B2CF9AE}" pid="14" name="MSIP_Label_be5cb09a-2992-49d6-8ac9-5f63e7b1ad2f_ContentBits">
    <vt:lpwstr>0</vt:lpwstr>
  </property>
</Properties>
</file>