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A5FA" w14:textId="67D31747" w:rsidR="00937C8F" w:rsidRPr="008D37EF" w:rsidRDefault="00937C8F" w:rsidP="00937C8F">
      <w:pPr>
        <w:pStyle w:val="Title-Head"/>
        <w:rPr>
          <w:shd w:val="clear" w:color="auto" w:fill="FFFFFF"/>
        </w:rPr>
      </w:pPr>
      <w:r w:rsidRPr="008D37EF">
        <w:rPr>
          <w:shd w:val="clear" w:color="auto" w:fill="FFFFFF"/>
        </w:rPr>
        <w:t>Discuss the Concepts</w:t>
      </w:r>
    </w:p>
    <w:p w14:paraId="5FE04E13" w14:textId="498E071F" w:rsidR="00937C8F" w:rsidRPr="00937C8F" w:rsidRDefault="00937C8F" w:rsidP="00937C8F">
      <w:pPr>
        <w:pStyle w:val="ListItem"/>
        <w:numPr>
          <w:ilvl w:val="0"/>
          <w:numId w:val="4"/>
        </w:numPr>
        <w:rPr>
          <w:shd w:val="clear" w:color="auto" w:fill="FFFFFF"/>
        </w:rPr>
      </w:pPr>
      <w:r w:rsidRPr="00777514">
        <w:rPr>
          <w:i/>
          <w:iCs/>
          <w:shd w:val="clear" w:color="auto" w:fill="FFFFFF"/>
        </w:rPr>
        <w:t>Comparative Statics</w:t>
      </w:r>
      <w:r w:rsidRPr="008D37EF">
        <w:rPr>
          <w:shd w:val="clear" w:color="auto" w:fill="FFFFFF"/>
        </w:rPr>
        <w:t xml:space="preserve">. Suppose the </w:t>
      </w:r>
      <w:r>
        <w:rPr>
          <w:shd w:val="clear" w:color="auto" w:fill="FFFFFF"/>
        </w:rPr>
        <w:t>start-up</w:t>
      </w:r>
      <w:r w:rsidRPr="008D37EF">
        <w:rPr>
          <w:shd w:val="clear" w:color="auto" w:fill="FFFFFF"/>
        </w:rPr>
        <w:t xml:space="preserve"> lottery is for your new food cart in a city. Starting from the lottery shown in </w:t>
      </w:r>
      <w:r w:rsidRPr="009A5DB9">
        <w:rPr>
          <w:rStyle w:val="FloatGroupCrossReferenceChar"/>
        </w:rPr>
        <w:t xml:space="preserve">Figure </w:t>
      </w:r>
      <w:hyperlink r:id="rId5" w:history="1">
        <w:r w:rsidRPr="009A5DB9">
          <w:rPr>
            <w:rStyle w:val="Hyperlink"/>
            <w:szCs w:val="22"/>
          </w:rPr>
          <w:t>15.2</w:t>
        </w:r>
      </w:hyperlink>
      <w:r w:rsidRPr="008D37EF">
        <w:rPr>
          <w:shd w:val="clear" w:color="auto" w:fill="FFFFFF"/>
        </w:rPr>
        <w:t>, consider the effects of following changes.</w:t>
      </w:r>
    </w:p>
    <w:p w14:paraId="3B20279D" w14:textId="77777777" w:rsidR="00937C8F" w:rsidRPr="008D37EF" w:rsidRDefault="00937C8F" w:rsidP="00937C8F">
      <w:pPr>
        <w:pStyle w:val="ListItem"/>
        <w:numPr>
          <w:ilvl w:val="0"/>
          <w:numId w:val="3"/>
        </w:numPr>
        <w:rPr>
          <w:shd w:val="clear" w:color="auto" w:fill="FFFFFF"/>
        </w:rPr>
      </w:pPr>
      <w:r w:rsidRPr="008D37EF">
        <w:rPr>
          <w:shd w:val="clear" w:color="auto" w:fill="FFFFFF"/>
        </w:rPr>
        <w:t>A potential competitor relocates a nearby food cart, increasing your probability of success to 0.75. The certainty equivalent [___] (</w:t>
      </w:r>
      <w:r>
        <w:rPr>
          <w:shd w:val="clear" w:color="auto" w:fill="FFFFFF"/>
        </w:rPr>
        <w:t>↑, ↓, does not change</w:t>
      </w:r>
      <w:r w:rsidRPr="008D37EF">
        <w:rPr>
          <w:shd w:val="clear" w:color="auto" w:fill="FFFFFF"/>
        </w:rPr>
        <w:t>) to $[___].</w:t>
      </w:r>
    </w:p>
    <w:p w14:paraId="5B9C7D69" w14:textId="77777777" w:rsidR="00937C8F" w:rsidRPr="008D37EF" w:rsidRDefault="00937C8F" w:rsidP="00937C8F">
      <w:pPr>
        <w:pStyle w:val="ListItem"/>
        <w:numPr>
          <w:ilvl w:val="0"/>
          <w:numId w:val="3"/>
        </w:numPr>
        <w:rPr>
          <w:shd w:val="clear" w:color="auto" w:fill="FFFFFF"/>
        </w:rPr>
      </w:pPr>
      <w:r w:rsidRPr="008D37EF">
        <w:rPr>
          <w:shd w:val="clear" w:color="auto" w:fill="FFFFFF"/>
        </w:rPr>
        <w:t>A new housing development in the neighborhood increases the number of potential customers, increasing the gain to $1156. The certainty equivalent [___] (</w:t>
      </w:r>
      <w:r>
        <w:rPr>
          <w:shd w:val="clear" w:color="auto" w:fill="FFFFFF"/>
        </w:rPr>
        <w:t>↑, ↓, does not change</w:t>
      </w:r>
      <w:r w:rsidRPr="008D37EF">
        <w:rPr>
          <w:shd w:val="clear" w:color="auto" w:fill="FFFFFF"/>
        </w:rPr>
        <w:t>) to $[___].</w:t>
      </w:r>
    </w:p>
    <w:p w14:paraId="700CEAD9" w14:textId="74BC3892" w:rsidR="00937C8F" w:rsidRPr="00937C8F" w:rsidRDefault="00937C8F" w:rsidP="00937C8F">
      <w:pPr>
        <w:pStyle w:val="ListItem"/>
        <w:numPr>
          <w:ilvl w:val="0"/>
          <w:numId w:val="3"/>
        </w:numPr>
        <w:rPr>
          <w:shd w:val="clear" w:color="auto" w:fill="FFFFFF"/>
        </w:rPr>
      </w:pPr>
      <w:r w:rsidRPr="008D37EF">
        <w:rPr>
          <w:shd w:val="clear" w:color="auto" w:fill="FFFFFF"/>
        </w:rPr>
        <w:t>The long-term lease for the food-cart pad doubles in length, increasing the loss to $100. The certainty equivalent [___] (</w:t>
      </w:r>
      <w:r>
        <w:rPr>
          <w:shd w:val="clear" w:color="auto" w:fill="FFFFFF"/>
        </w:rPr>
        <w:t>↑, ↓, does not change</w:t>
      </w:r>
      <w:r w:rsidRPr="008D37EF">
        <w:rPr>
          <w:shd w:val="clear" w:color="auto" w:fill="FFFFFF"/>
        </w:rPr>
        <w:t>) to $[___].</w:t>
      </w:r>
    </w:p>
    <w:p w14:paraId="5427426E" w14:textId="5BC6A99A" w:rsidR="00937C8F" w:rsidRPr="00937C8F" w:rsidRDefault="00937C8F" w:rsidP="00937C8F">
      <w:pPr>
        <w:pStyle w:val="ListItem"/>
        <w:numPr>
          <w:ilvl w:val="0"/>
          <w:numId w:val="4"/>
        </w:numPr>
        <w:rPr>
          <w:shd w:val="clear" w:color="auto" w:fill="FFFFFF"/>
        </w:rPr>
      </w:pPr>
      <w:r w:rsidRPr="00777514">
        <w:rPr>
          <w:i/>
          <w:iCs/>
          <w:shd w:val="clear" w:color="auto" w:fill="FFFFFF"/>
        </w:rPr>
        <w:t>Highest Bidder</w:t>
      </w:r>
      <w:r w:rsidRPr="008D37EF">
        <w:rPr>
          <w:shd w:val="clear" w:color="auto" w:fill="FFFFFF"/>
        </w:rPr>
        <w:t xml:space="preserve">. Imagine that you are selling a stake in your </w:t>
      </w:r>
      <w:r>
        <w:rPr>
          <w:shd w:val="clear" w:color="auto" w:fill="FFFFFF"/>
        </w:rPr>
        <w:t>start-up</w:t>
      </w:r>
      <w:r w:rsidRPr="008D37EF">
        <w:rPr>
          <w:shd w:val="clear" w:color="auto" w:fill="FFFFFF"/>
        </w:rPr>
        <w:t xml:space="preserve"> company to the highest bidder. The associated lottery is the </w:t>
      </w:r>
      <w:r>
        <w:rPr>
          <w:shd w:val="clear" w:color="auto" w:fill="FFFFFF"/>
        </w:rPr>
        <w:t>start-up</w:t>
      </w:r>
      <w:r w:rsidRPr="008D37EF">
        <w:rPr>
          <w:shd w:val="clear" w:color="auto" w:fill="FFFFFF"/>
        </w:rPr>
        <w:t xml:space="preserve"> lottery in </w:t>
      </w:r>
      <w:r w:rsidRPr="009A5DB9">
        <w:rPr>
          <w:rStyle w:val="FloatGroupCrossReferenceChar"/>
        </w:rPr>
        <w:t xml:space="preserve">Figure </w:t>
      </w:r>
      <w:hyperlink r:id="rId6" w:history="1">
        <w:r w:rsidRPr="009A5DB9">
          <w:rPr>
            <w:rStyle w:val="Hyperlink"/>
            <w:szCs w:val="22"/>
          </w:rPr>
          <w:t>15.1</w:t>
        </w:r>
      </w:hyperlink>
      <w:r w:rsidRPr="008D37EF">
        <w:rPr>
          <w:shd w:val="clear" w:color="auto" w:fill="FFFFFF"/>
        </w:rPr>
        <w:t xml:space="preserve">. </w:t>
      </w:r>
      <w:proofErr w:type="spellStart"/>
      <w:r w:rsidRPr="008D37EF">
        <w:rPr>
          <w:shd w:val="clear" w:color="auto" w:fill="FFFFFF"/>
        </w:rPr>
        <w:t>Rootone</w:t>
      </w:r>
      <w:proofErr w:type="spellEnd"/>
      <w:r w:rsidRPr="008D37EF">
        <w:rPr>
          <w:shd w:val="clear" w:color="auto" w:fill="FFFFFF"/>
        </w:rPr>
        <w:t xml:space="preserve"> has a square-</w:t>
      </w:r>
      <w:proofErr w:type="spellStart"/>
      <w:r w:rsidRPr="008D37EF">
        <w:rPr>
          <w:shd w:val="clear" w:color="auto" w:fill="FFFFFF"/>
        </w:rPr>
        <w:t>root</w:t>
      </w:r>
      <w:proofErr w:type="spellEnd"/>
      <w:r w:rsidRPr="008D37EF">
        <w:rPr>
          <w:shd w:val="clear" w:color="auto" w:fill="FFFFFF"/>
        </w:rPr>
        <w:t xml:space="preserve"> utility function and loss neutrality, with </w:t>
      </w:r>
      <w:r>
        <w:rPr>
          <w:shd w:val="clear" w:color="auto" w:fill="FFFFFF"/>
        </w:rPr>
        <w:t>λ</w:t>
      </w:r>
      <w:r w:rsidRPr="008D37EF">
        <w:rPr>
          <w:shd w:val="clear" w:color="auto" w:fill="FFFFFF"/>
        </w:rPr>
        <w:t xml:space="preserve"> = 1. </w:t>
      </w:r>
      <w:proofErr w:type="spellStart"/>
      <w:r w:rsidRPr="008D37EF">
        <w:rPr>
          <w:shd w:val="clear" w:color="auto" w:fill="FFFFFF"/>
        </w:rPr>
        <w:t>Linthree</w:t>
      </w:r>
      <w:proofErr w:type="spellEnd"/>
      <w:r w:rsidRPr="008D37EF">
        <w:rPr>
          <w:shd w:val="clear" w:color="auto" w:fill="FFFFFF"/>
        </w:rPr>
        <w:t xml:space="preserve"> has a linear utility function </w:t>
      </w:r>
      <w:r w:rsidRPr="00280A4C">
        <w:rPr>
          <w:i/>
          <w:iCs/>
          <w:shd w:val="clear" w:color="auto" w:fill="FFFFFF"/>
        </w:rPr>
        <w:t>u</w:t>
      </w:r>
      <w:r w:rsidRPr="008D37EF">
        <w:rPr>
          <w:shd w:val="clear" w:color="auto" w:fill="FFFFFF"/>
        </w:rPr>
        <w:t>(</w:t>
      </w:r>
      <w:r w:rsidRPr="00280A4C">
        <w:rPr>
          <w:i/>
          <w:iCs/>
          <w:shd w:val="clear" w:color="auto" w:fill="FFFFFF"/>
        </w:rPr>
        <w:t>x</w:t>
      </w:r>
      <w:r w:rsidRPr="008D37EF">
        <w:rPr>
          <w:shd w:val="clear" w:color="auto" w:fill="FFFFFF"/>
        </w:rPr>
        <w:t>) = 10</w:t>
      </w:r>
      <w:r>
        <w:rPr>
          <w:shd w:val="clear" w:color="auto" w:fill="FFFFFF"/>
        </w:rPr>
        <w:t xml:space="preserve"> </w:t>
      </w:r>
      <w:r>
        <w:rPr>
          <w:rFonts w:ascii="Cambria Math" w:hAnsi="Cambria Math"/>
          <w:shd w:val="clear" w:color="auto" w:fill="FFFFFF"/>
        </w:rPr>
        <w:t>⋅</w:t>
      </w:r>
      <w:r w:rsidRPr="008D37EF">
        <w:rPr>
          <w:shd w:val="clear" w:color="auto" w:fill="FFFFFF"/>
        </w:rPr>
        <w:t xml:space="preserve"> </w:t>
      </w:r>
      <w:r w:rsidRPr="00280A4C">
        <w:rPr>
          <w:i/>
          <w:iCs/>
          <w:shd w:val="clear" w:color="auto" w:fill="FFFFFF"/>
        </w:rPr>
        <w:t>x</w:t>
      </w:r>
      <w:r w:rsidRPr="008D37EF">
        <w:rPr>
          <w:shd w:val="clear" w:color="auto" w:fill="FFFFFF"/>
        </w:rPr>
        <w:t xml:space="preserve"> and </w:t>
      </w:r>
      <w:r>
        <w:rPr>
          <w:shd w:val="clear" w:color="auto" w:fill="FFFFFF"/>
        </w:rPr>
        <w:t>greater weight of loss</w:t>
      </w:r>
      <w:r w:rsidRPr="008D37EF">
        <w:rPr>
          <w:shd w:val="clear" w:color="auto" w:fill="FFFFFF"/>
        </w:rPr>
        <w:t xml:space="preserve">, with </w:t>
      </w:r>
      <w:r>
        <w:rPr>
          <w:shd w:val="clear" w:color="auto" w:fill="FFFFFF"/>
        </w:rPr>
        <w:t>λ</w:t>
      </w:r>
      <w:r w:rsidRPr="008D37EF">
        <w:rPr>
          <w:shd w:val="clear" w:color="auto" w:fill="FFFFFF"/>
        </w:rPr>
        <w:t xml:space="preserve"> = 3.</w:t>
      </w:r>
    </w:p>
    <w:p w14:paraId="012C6250" w14:textId="77777777" w:rsidR="00937C8F" w:rsidRPr="008D37EF" w:rsidRDefault="00937C8F" w:rsidP="00937C8F">
      <w:pPr>
        <w:pStyle w:val="ListItem"/>
        <w:numPr>
          <w:ilvl w:val="0"/>
          <w:numId w:val="2"/>
        </w:numPr>
        <w:rPr>
          <w:shd w:val="clear" w:color="auto" w:fill="FFFFFF"/>
        </w:rPr>
      </w:pPr>
      <w:proofErr w:type="spellStart"/>
      <w:r w:rsidRPr="008D37EF">
        <w:rPr>
          <w:shd w:val="clear" w:color="auto" w:fill="FFFFFF"/>
        </w:rPr>
        <w:t>Rootone’s</w:t>
      </w:r>
      <w:proofErr w:type="spellEnd"/>
      <w:r w:rsidRPr="008D37EF">
        <w:rPr>
          <w:shd w:val="clear" w:color="auto" w:fill="FFFFFF"/>
        </w:rPr>
        <w:t xml:space="preserve"> bid is [___]. Illustrate</w:t>
      </w:r>
      <w:r>
        <w:rPr>
          <w:shd w:val="clear" w:color="auto" w:fill="FFFFFF"/>
        </w:rPr>
        <w:t>.</w:t>
      </w:r>
    </w:p>
    <w:p w14:paraId="696CB8D3" w14:textId="020145B7" w:rsidR="00937C8F" w:rsidRPr="00937C8F" w:rsidRDefault="00937C8F" w:rsidP="00937C8F">
      <w:pPr>
        <w:pStyle w:val="ListItem"/>
        <w:numPr>
          <w:ilvl w:val="0"/>
          <w:numId w:val="2"/>
        </w:numPr>
        <w:rPr>
          <w:shd w:val="clear" w:color="auto" w:fill="FFFFFF"/>
        </w:rPr>
      </w:pPr>
      <w:proofErr w:type="spellStart"/>
      <w:r w:rsidRPr="008D37EF">
        <w:rPr>
          <w:shd w:val="clear" w:color="auto" w:fill="FFFFFF"/>
        </w:rPr>
        <w:t>Linthrees</w:t>
      </w:r>
      <w:proofErr w:type="spellEnd"/>
      <w:r w:rsidRPr="008D37EF">
        <w:rPr>
          <w:shd w:val="clear" w:color="auto" w:fill="FFFFFF"/>
        </w:rPr>
        <w:t xml:space="preserve"> bid is [___]. Illustrate.</w:t>
      </w:r>
    </w:p>
    <w:p w14:paraId="0AFB6031" w14:textId="77777777" w:rsidR="00937C8F" w:rsidRPr="008D37EF" w:rsidRDefault="00937C8F" w:rsidP="00937C8F">
      <w:pPr>
        <w:pStyle w:val="ListItem"/>
        <w:numPr>
          <w:ilvl w:val="0"/>
          <w:numId w:val="4"/>
        </w:numPr>
        <w:rPr>
          <w:shd w:val="clear" w:color="auto" w:fill="FFFFFF"/>
        </w:rPr>
      </w:pPr>
      <w:r w:rsidRPr="006423F9">
        <w:rPr>
          <w:i/>
          <w:iCs/>
          <w:shd w:val="clear" w:color="auto" w:fill="FFFFFF"/>
        </w:rPr>
        <w:t>Neighborly Certainty Equivalent</w:t>
      </w:r>
      <w:r w:rsidRPr="008D37EF">
        <w:rPr>
          <w:shd w:val="clear" w:color="auto" w:fill="FFFFFF"/>
        </w:rPr>
        <w:t xml:space="preserve">. Use Widget 15.3 to compute the value of your utility parameter </w:t>
      </w:r>
      <w:r>
        <w:rPr>
          <w:shd w:val="clear" w:color="auto" w:fill="FFFFFF"/>
        </w:rPr>
        <w:t>μ</w:t>
      </w:r>
      <w:r w:rsidRPr="008D37EF">
        <w:rPr>
          <w:shd w:val="clear" w:color="auto" w:fill="FFFFFF"/>
        </w:rPr>
        <w:t xml:space="preserve"> for gain. Suppose you are offered a lottery with a 25 percent chance of a $144 gain. Your willingness to pay is </w:t>
      </w:r>
      <w:r w:rsidRPr="00280A4C">
        <w:rPr>
          <w:i/>
          <w:iCs/>
          <w:shd w:val="clear" w:color="auto" w:fill="FFFFFF"/>
        </w:rPr>
        <w:t>c</w:t>
      </w:r>
      <w:r w:rsidRPr="008D37EF">
        <w:rPr>
          <w:shd w:val="clear" w:color="auto" w:fill="FFFFFF"/>
        </w:rPr>
        <w:t xml:space="preserve">(L) = [___]. Use the results from three neighbors to plot four points on a curve showing the relationship between </w:t>
      </w:r>
      <w:r>
        <w:rPr>
          <w:shd w:val="clear" w:color="auto" w:fill="FFFFFF"/>
        </w:rPr>
        <w:t>μ</w:t>
      </w:r>
      <w:r w:rsidRPr="008D37EF">
        <w:rPr>
          <w:shd w:val="clear" w:color="auto" w:fill="FFFFFF"/>
        </w:rPr>
        <w:t xml:space="preserve"> (on the horizontal axis) and the certainty equivalent (on the vertical axis).</w:t>
      </w:r>
    </w:p>
    <w:p w14:paraId="4236DDD5" w14:textId="51617F69" w:rsidR="00937C8F" w:rsidRPr="00937C8F" w:rsidRDefault="00937C8F" w:rsidP="00937C8F">
      <w:pPr>
        <w:pStyle w:val="ListItem"/>
        <w:numPr>
          <w:ilvl w:val="0"/>
          <w:numId w:val="4"/>
        </w:numPr>
        <w:rPr>
          <w:shd w:val="clear" w:color="auto" w:fill="FFFFFF"/>
        </w:rPr>
      </w:pPr>
      <w:r w:rsidRPr="005D20F0">
        <w:rPr>
          <w:i/>
          <w:iCs/>
          <w:shd w:val="clear" w:color="auto" w:fill="FFFFFF"/>
        </w:rPr>
        <w:t>Rat Certainty Equivalent</w:t>
      </w:r>
      <w:r w:rsidRPr="008D37EF">
        <w:rPr>
          <w:shd w:val="clear" w:color="auto" w:fill="FFFFFF"/>
        </w:rPr>
        <w:t>. Consider the results of the experiments with thirsty lab rats.</w:t>
      </w:r>
    </w:p>
    <w:p w14:paraId="4DE9157C" w14:textId="77777777" w:rsidR="00937C8F" w:rsidRPr="008D37EF" w:rsidRDefault="00937C8F" w:rsidP="00937C8F">
      <w:pPr>
        <w:pStyle w:val="ListItem"/>
        <w:numPr>
          <w:ilvl w:val="0"/>
          <w:numId w:val="1"/>
        </w:numPr>
        <w:rPr>
          <w:shd w:val="clear" w:color="auto" w:fill="FFFFFF"/>
        </w:rPr>
      </w:pPr>
      <w:r w:rsidRPr="008D37EF">
        <w:rPr>
          <w:shd w:val="clear" w:color="auto" w:fill="FFFFFF"/>
        </w:rPr>
        <w:lastRenderedPageBreak/>
        <w:t>The typical rat would be indifferent between a lottery with equal chances of gaining 36 ounces or losing 4 ounces and a certain [___] ounces.</w:t>
      </w:r>
    </w:p>
    <w:p w14:paraId="01EA1F7A" w14:textId="77777777" w:rsidR="00937C8F" w:rsidRPr="008D37EF" w:rsidRDefault="00937C8F" w:rsidP="00937C8F">
      <w:pPr>
        <w:pStyle w:val="ListItem"/>
        <w:numPr>
          <w:ilvl w:val="0"/>
          <w:numId w:val="1"/>
        </w:numPr>
        <w:rPr>
          <w:shd w:val="clear" w:color="auto" w:fill="FFFFFF"/>
        </w:rPr>
      </w:pPr>
      <w:proofErr w:type="gramStart"/>
      <w:r w:rsidRPr="008D37EF">
        <w:rPr>
          <w:shd w:val="clear" w:color="auto" w:fill="FFFFFF"/>
        </w:rPr>
        <w:t>Suppose</w:t>
      </w:r>
      <w:r>
        <w:rPr>
          <w:shd w:val="clear" w:color="auto" w:fill="FFFFFF"/>
        </w:rPr>
        <w:t>,</w:t>
      </w:r>
      <w:proofErr w:type="gramEnd"/>
      <w:r w:rsidRPr="008D37EF">
        <w:rPr>
          <w:shd w:val="clear" w:color="auto" w:fill="FFFFFF"/>
        </w:rPr>
        <w:t xml:space="preserve"> as an approximation, we assume </w:t>
      </w:r>
      <w:r>
        <w:rPr>
          <w:shd w:val="clear" w:color="auto" w:fill="FFFFFF"/>
        </w:rPr>
        <w:t>μ</w:t>
      </w:r>
      <w:r w:rsidRPr="008D37EF">
        <w:rPr>
          <w:shd w:val="clear" w:color="auto" w:fill="FFFFFF"/>
        </w:rPr>
        <w:t xml:space="preserve"> = 0.50 and </w:t>
      </w:r>
      <w:r>
        <w:rPr>
          <w:shd w:val="clear" w:color="auto" w:fill="FFFFFF"/>
        </w:rPr>
        <w:t>λ</w:t>
      </w:r>
      <w:r w:rsidRPr="008D37EF">
        <w:rPr>
          <w:shd w:val="clear" w:color="auto" w:fill="FFFFFF"/>
        </w:rPr>
        <w:t xml:space="preserve"> = 2. The resulting certainty equivalent would be [___] (&gt;, &lt;, =) to the value computed in (a) because [___].</w:t>
      </w:r>
    </w:p>
    <w:p w14:paraId="4F312DB1" w14:textId="77777777" w:rsidR="00AD0E79" w:rsidRDefault="00937C8F"/>
    <w:sectPr w:rsidR="00AD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BF"/>
    <w:multiLevelType w:val="hybridMultilevel"/>
    <w:tmpl w:val="768C4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A8F"/>
    <w:multiLevelType w:val="hybridMultilevel"/>
    <w:tmpl w:val="AC34B59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4CF614E"/>
    <w:multiLevelType w:val="hybridMultilevel"/>
    <w:tmpl w:val="63E26A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7EF5"/>
    <w:multiLevelType w:val="hybridMultilevel"/>
    <w:tmpl w:val="7CF2B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8F"/>
    <w:rsid w:val="008406C9"/>
    <w:rsid w:val="00937C8F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4CB6"/>
  <w15:chartTrackingRefBased/>
  <w15:docId w15:val="{4DBD1015-3A2A-4668-A8B4-2667263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C8F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C8F"/>
    <w:rPr>
      <w:sz w:val="16"/>
      <w:szCs w:val="16"/>
    </w:rPr>
  </w:style>
  <w:style w:type="paragraph" w:customStyle="1" w:styleId="FloatGroupCrossReference">
    <w:name w:val="FloatGroup Cross Reference"/>
    <w:basedOn w:val="Normal"/>
    <w:link w:val="FloatGroupCrossReferenceChar"/>
    <w:qFormat/>
    <w:rsid w:val="00937C8F"/>
    <w:pPr>
      <w:spacing w:after="0" w:line="480" w:lineRule="auto"/>
    </w:pPr>
    <w:rPr>
      <w:rFonts w:ascii="Times New Roman" w:eastAsia="Calibri" w:hAnsi="Times New Roman" w:cs="Times New Roman"/>
      <w:color w:val="119F29"/>
      <w:sz w:val="24"/>
    </w:rPr>
  </w:style>
  <w:style w:type="character" w:customStyle="1" w:styleId="FloatGroupCrossReferenceChar">
    <w:name w:val="FloatGroup Cross Reference Char"/>
    <w:link w:val="FloatGroupCrossReference"/>
    <w:rsid w:val="00937C8F"/>
    <w:rPr>
      <w:rFonts w:ascii="Times New Roman" w:eastAsia="Calibri" w:hAnsi="Times New Roman" w:cs="Times New Roman"/>
      <w:color w:val="119F29"/>
      <w:sz w:val="24"/>
    </w:rPr>
  </w:style>
  <w:style w:type="paragraph" w:customStyle="1" w:styleId="ListItem">
    <w:name w:val="List Item"/>
    <w:basedOn w:val="Normal"/>
    <w:qFormat/>
    <w:rsid w:val="00937C8F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Start">
    <w:name w:val="List:Start"/>
    <w:basedOn w:val="Normal"/>
    <w:qFormat/>
    <w:rsid w:val="00937C8F"/>
    <w:pPr>
      <w:pBdr>
        <w:top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Title-Head">
    <w:name w:val="Title-Head"/>
    <w:basedOn w:val="Normal"/>
    <w:qFormat/>
    <w:rsid w:val="00937C8F"/>
    <w:pPr>
      <w:spacing w:before="240" w:after="240" w:line="480" w:lineRule="auto"/>
    </w:pPr>
    <w:rPr>
      <w:rFonts w:ascii="Times New Roman" w:eastAsia="Calibri" w:hAnsi="Times New Roman" w:cs="Times New Roman"/>
      <w:sz w:val="28"/>
      <w:szCs w:val="24"/>
      <w:lang w:eastAsia="ko-KR"/>
    </w:rPr>
  </w:style>
  <w:style w:type="paragraph" w:customStyle="1" w:styleId="ListEnd">
    <w:name w:val="List:End"/>
    <w:basedOn w:val="Normal"/>
    <w:qFormat/>
    <w:rsid w:val="00937C8F"/>
    <w:pPr>
      <w:pBdr>
        <w:bottom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830893216078b129/Documents/OUP%20PM%20for%20SPI/O'Sullivan_Behavioral%20Econ%201e/04%20From%20CE/Final%20Edited%20files/Figure_fcr_21" TargetMode="External"/><Relationship Id="rId5" Type="http://schemas.openxmlformats.org/officeDocument/2006/relationships/hyperlink" Target="https://d.docs.live.net/830893216078b129/Documents/OUP%20PM%20for%20SPI/O'Sullivan_Behavioral%20Econ%201e/04%20From%20CE/Final%20Edited%20files/Figure_fcr_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HANDA, Jane</dc:creator>
  <cp:keywords/>
  <dc:description/>
  <cp:lastModifiedBy>HANDA, Jane</cp:lastModifiedBy>
  <cp:revision>1</cp:revision>
  <dcterms:created xsi:type="dcterms:W3CDTF">2022-06-02T15:19:00Z</dcterms:created>
  <dcterms:modified xsi:type="dcterms:W3CDTF">2022-06-02T15:20:00Z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2022-06-02T15:20:15Z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4f8f6620-23cd-4f6a-ba60-000033378e38</vt:lpwstr>
  </property>
</Properties>
</file>