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E65F" w14:textId="77777777" w:rsidR="005636A5" w:rsidRDefault="00760D7E">
      <w:pPr>
        <w:pStyle w:val="APPA"/>
        <w:suppressAutoHyphens w:val="0"/>
        <w:spacing w:before="0" w:after="0" w:line="480" w:lineRule="auto"/>
        <w:jc w:val="both"/>
        <w:rPr>
          <w:rFonts w:ascii="Arial" w:hAnsi="Arial" w:cs="Arial"/>
          <w:b/>
          <w:color w:val="00000A"/>
          <w:spacing w:val="0"/>
          <w:sz w:val="24"/>
          <w:szCs w:val="20"/>
        </w:rPr>
      </w:pPr>
      <w:r>
        <w:rPr>
          <w:rFonts w:ascii="Arial" w:hAnsi="Arial" w:cs="Arial"/>
          <w:b/>
          <w:color w:val="00000A"/>
          <w:spacing w:val="0"/>
          <w:sz w:val="24"/>
          <w:szCs w:val="20"/>
        </w:rPr>
        <w:t>CHAPTER 12</w:t>
      </w:r>
    </w:p>
    <w:p w14:paraId="5D3EA519" w14:textId="77777777" w:rsidR="005636A5" w:rsidRDefault="00760D7E">
      <w:pPr>
        <w:pStyle w:val="APPTXTfirst"/>
        <w:spacing w:line="480" w:lineRule="auto"/>
        <w:rPr>
          <w:rFonts w:ascii="Arial" w:hAnsi="Arial" w:cs="Arial"/>
          <w:color w:val="00000A"/>
          <w:sz w:val="24"/>
          <w:szCs w:val="20"/>
        </w:rPr>
      </w:pPr>
      <w:r>
        <w:rPr>
          <w:rFonts w:ascii="Arial" w:hAnsi="Arial" w:cs="Arial"/>
          <w:color w:val="00000A"/>
          <w:sz w:val="24"/>
          <w:szCs w:val="20"/>
        </w:rPr>
        <w:t>1.</w:t>
      </w:r>
      <w:r>
        <w:rPr>
          <w:rFonts w:ascii="Arial" w:eastAsia="MS Mincho" w:hAnsi="Arial" w:cs="Arial"/>
          <w:color w:val="00000A"/>
          <w:sz w:val="24"/>
          <w:szCs w:val="20"/>
        </w:rPr>
        <w:t>  </w:t>
      </w:r>
      <w:r>
        <w:rPr>
          <w:rFonts w:ascii="Arial" w:hAnsi="Arial" w:cs="Arial"/>
          <w:color w:val="00000A"/>
          <w:sz w:val="24"/>
          <w:szCs w:val="20"/>
        </w:rPr>
        <w:t xml:space="preserve">Two or more written charges/informations may be tried together in circumstances where the court considers it is in the interest of justice. Guidance on the application of the interest of justice in this context is provided by the decision of the House of Lords in </w:t>
      </w:r>
      <w:r>
        <w:rPr>
          <w:rStyle w:val="italic"/>
          <w:rFonts w:ascii="Arial" w:hAnsi="Arial" w:cs="Arial"/>
          <w:color w:val="00000A"/>
          <w:sz w:val="24"/>
          <w:szCs w:val="20"/>
        </w:rPr>
        <w:t>Chief Constable of Norfolk v Clayton</w:t>
      </w:r>
      <w:r>
        <w:rPr>
          <w:rFonts w:ascii="Arial" w:hAnsi="Arial" w:cs="Arial"/>
          <w:color w:val="00000A"/>
          <w:sz w:val="24"/>
          <w:szCs w:val="20"/>
        </w:rPr>
        <w:t xml:space="preserve"> [1983] 2 AC 473.</w:t>
      </w:r>
    </w:p>
    <w:p w14:paraId="4750A113" w14:textId="77777777" w:rsidR="005636A5" w:rsidRDefault="005636A5">
      <w:pPr>
        <w:pStyle w:val="APPTXTfirst"/>
        <w:spacing w:line="480" w:lineRule="auto"/>
        <w:rPr>
          <w:rFonts w:ascii="Arial" w:hAnsi="Arial" w:cs="Arial"/>
          <w:color w:val="00000A"/>
          <w:sz w:val="24"/>
          <w:szCs w:val="20"/>
        </w:rPr>
      </w:pPr>
    </w:p>
    <w:p w14:paraId="7B402C71" w14:textId="1BA73268" w:rsidR="005636A5" w:rsidRDefault="00760D7E">
      <w:pPr>
        <w:pStyle w:val="APPTXTfirst"/>
        <w:spacing w:line="480" w:lineRule="auto"/>
        <w:rPr>
          <w:rFonts w:ascii="Arial" w:hAnsi="Arial" w:cs="Arial"/>
          <w:color w:val="00000A"/>
          <w:sz w:val="24"/>
          <w:szCs w:val="20"/>
        </w:rPr>
      </w:pPr>
      <w:r>
        <w:rPr>
          <w:rFonts w:ascii="Arial" w:hAnsi="Arial" w:cs="Arial"/>
          <w:color w:val="00000A"/>
          <w:sz w:val="24"/>
          <w:szCs w:val="20"/>
        </w:rPr>
        <w:t>2.</w:t>
      </w:r>
      <w:r>
        <w:rPr>
          <w:rFonts w:ascii="Arial" w:eastAsia="MS Mincho" w:hAnsi="Arial" w:cs="Arial"/>
          <w:color w:val="00000A"/>
          <w:sz w:val="24"/>
          <w:szCs w:val="20"/>
        </w:rPr>
        <w:t>  </w:t>
      </w:r>
      <w:r>
        <w:rPr>
          <w:rFonts w:ascii="Arial" w:hAnsi="Arial" w:cs="Arial"/>
          <w:color w:val="00000A"/>
          <w:sz w:val="24"/>
          <w:szCs w:val="20"/>
        </w:rPr>
        <w:t>The defence advocate will be aware of the prosecution’s case because he or she will have sought disclosure of used material under Crim PR Part 8 (Initial D</w:t>
      </w:r>
      <w:r w:rsidR="004A1E87">
        <w:rPr>
          <w:rFonts w:ascii="Arial" w:hAnsi="Arial" w:cs="Arial"/>
          <w:color w:val="00000A"/>
          <w:sz w:val="24"/>
          <w:szCs w:val="20"/>
        </w:rPr>
        <w:t>etails</w:t>
      </w:r>
      <w:r>
        <w:rPr>
          <w:rFonts w:ascii="Arial" w:hAnsi="Arial" w:cs="Arial"/>
          <w:color w:val="00000A"/>
          <w:sz w:val="24"/>
          <w:szCs w:val="20"/>
        </w:rPr>
        <w:t xml:space="preserve"> of the Prosecution’s. Where a defendant pleads not guilty to a case that is to be tried summarily, the CPIA 1996 requires the CPS to make disclosure of unused material (s. 3 CPIA 1996) that would reasonably be considered capable of undermining the case for the prosecution or of assisting the case of the accused. In a summary-only case where a not guilty plea is anticipated, a Streamlined Disclosure Certificate will be served along with IDPC. The defendant has the option of submitting a defence statement in a summary case (s. 6 CPIA 1996). Any further disclosure which might assist the defence articulated will only be forthcoming if a defence statement has been served (s. 7A CPIA 1996).</w:t>
      </w:r>
    </w:p>
    <w:p w14:paraId="67F5E362" w14:textId="77777777" w:rsidR="005636A5" w:rsidRDefault="005636A5">
      <w:pPr>
        <w:pStyle w:val="APPTXTfirst"/>
        <w:spacing w:line="480" w:lineRule="auto"/>
        <w:rPr>
          <w:rFonts w:ascii="Arial" w:hAnsi="Arial" w:cs="Arial"/>
          <w:color w:val="00000A"/>
          <w:sz w:val="24"/>
          <w:szCs w:val="20"/>
        </w:rPr>
      </w:pPr>
    </w:p>
    <w:p w14:paraId="5F211C03" w14:textId="77777777" w:rsidR="005636A5" w:rsidRDefault="00760D7E">
      <w:pPr>
        <w:pStyle w:val="APPTXTfirst"/>
        <w:spacing w:line="480" w:lineRule="auto"/>
        <w:rPr>
          <w:rFonts w:ascii="Arial" w:hAnsi="Arial" w:cs="Arial"/>
          <w:color w:val="00000A"/>
          <w:sz w:val="24"/>
          <w:szCs w:val="20"/>
        </w:rPr>
      </w:pPr>
      <w:r>
        <w:rPr>
          <w:rFonts w:ascii="Arial" w:hAnsi="Arial" w:cs="Arial"/>
          <w:color w:val="00000A"/>
          <w:sz w:val="24"/>
          <w:szCs w:val="20"/>
        </w:rPr>
        <w:t>3.</w:t>
      </w:r>
      <w:r>
        <w:rPr>
          <w:rFonts w:ascii="Arial" w:eastAsia="MS Mincho" w:hAnsi="Arial" w:cs="Arial"/>
          <w:color w:val="00000A"/>
          <w:sz w:val="24"/>
          <w:szCs w:val="20"/>
        </w:rPr>
        <w:t>  </w:t>
      </w:r>
      <w:r>
        <w:rPr>
          <w:rFonts w:ascii="Arial" w:hAnsi="Arial" w:cs="Arial"/>
          <w:color w:val="00000A"/>
          <w:sz w:val="24"/>
          <w:szCs w:val="20"/>
        </w:rPr>
        <w:t>The attendance of a witness can be secured by the issue of a witness summons under the procedure set out in s. 97 MCA 1980 and Part 17 Crim PR.</w:t>
      </w:r>
    </w:p>
    <w:p w14:paraId="143C9122" w14:textId="77777777" w:rsidR="005636A5" w:rsidRDefault="005636A5">
      <w:pPr>
        <w:pStyle w:val="APPTXTfirst"/>
        <w:spacing w:line="480" w:lineRule="auto"/>
        <w:rPr>
          <w:rFonts w:ascii="Arial" w:hAnsi="Arial" w:cs="Arial"/>
          <w:color w:val="00000A"/>
          <w:sz w:val="24"/>
          <w:szCs w:val="20"/>
        </w:rPr>
      </w:pPr>
    </w:p>
    <w:p w14:paraId="72988A5C" w14:textId="46BF0962" w:rsidR="005636A5" w:rsidRDefault="00760D7E">
      <w:pPr>
        <w:pStyle w:val="APPTXTfirst"/>
        <w:spacing w:line="480" w:lineRule="auto"/>
        <w:rPr>
          <w:rFonts w:ascii="Arial" w:hAnsi="Arial" w:cs="Arial"/>
          <w:color w:val="00000A"/>
          <w:sz w:val="24"/>
          <w:szCs w:val="20"/>
        </w:rPr>
      </w:pPr>
      <w:r>
        <w:rPr>
          <w:rFonts w:ascii="Arial" w:hAnsi="Arial" w:cs="Arial"/>
          <w:color w:val="00000A"/>
          <w:sz w:val="24"/>
          <w:szCs w:val="20"/>
        </w:rPr>
        <w:t>4.</w:t>
      </w:r>
      <w:r>
        <w:rPr>
          <w:rFonts w:ascii="Arial" w:eastAsia="MS Mincho" w:hAnsi="Arial" w:cs="Arial"/>
          <w:color w:val="00000A"/>
          <w:sz w:val="24"/>
          <w:szCs w:val="20"/>
        </w:rPr>
        <w:t>  </w:t>
      </w:r>
      <w:r>
        <w:rPr>
          <w:rFonts w:ascii="Arial" w:hAnsi="Arial" w:cs="Arial"/>
          <w:color w:val="00000A"/>
          <w:sz w:val="24"/>
          <w:szCs w:val="20"/>
        </w:rPr>
        <w:t xml:space="preserve">The role and responsibilities of the legal adviser or justices’ clerk are briefly outlined in Chapter 1. The role of the legal adviser is to advise the magistrates on law, practice and procedure. The legal adviser plays no part in decisions on fact. The </w:t>
      </w:r>
      <w:r>
        <w:rPr>
          <w:rFonts w:ascii="Arial" w:hAnsi="Arial" w:cs="Arial"/>
          <w:color w:val="00000A"/>
          <w:sz w:val="24"/>
          <w:szCs w:val="20"/>
        </w:rPr>
        <w:lastRenderedPageBreak/>
        <w:t>legal adviser will effectively run the court, keeping a written record of the proceedings and offering assistance to unrepresented defendants.</w:t>
      </w:r>
    </w:p>
    <w:p w14:paraId="6100D06C" w14:textId="77777777" w:rsidR="005636A5" w:rsidRDefault="005636A5">
      <w:pPr>
        <w:pStyle w:val="APPTXTfirst"/>
        <w:spacing w:line="480" w:lineRule="auto"/>
        <w:rPr>
          <w:rFonts w:ascii="Arial" w:hAnsi="Arial" w:cs="Arial"/>
          <w:color w:val="00000A"/>
          <w:sz w:val="24"/>
          <w:szCs w:val="20"/>
        </w:rPr>
      </w:pPr>
    </w:p>
    <w:p w14:paraId="7748B9BD" w14:textId="1DCD80D9" w:rsidR="005636A5" w:rsidRDefault="00760D7E">
      <w:pPr>
        <w:pStyle w:val="APPTXTfirst"/>
        <w:spacing w:line="480" w:lineRule="auto"/>
        <w:rPr>
          <w:rFonts w:ascii="Arial" w:hAnsi="Arial" w:cs="Arial"/>
          <w:color w:val="00000A"/>
          <w:sz w:val="24"/>
          <w:szCs w:val="20"/>
        </w:rPr>
      </w:pPr>
      <w:r>
        <w:rPr>
          <w:rFonts w:ascii="Arial" w:hAnsi="Arial" w:cs="Arial"/>
          <w:color w:val="00000A"/>
          <w:sz w:val="24"/>
          <w:szCs w:val="20"/>
        </w:rPr>
        <w:t>5.</w:t>
      </w:r>
      <w:r>
        <w:rPr>
          <w:rFonts w:ascii="Arial" w:eastAsia="MS Mincho" w:hAnsi="Arial" w:cs="Arial"/>
          <w:color w:val="00000A"/>
          <w:sz w:val="24"/>
          <w:szCs w:val="20"/>
        </w:rPr>
        <w:t>  </w:t>
      </w:r>
      <w:r>
        <w:rPr>
          <w:rFonts w:ascii="Arial" w:hAnsi="Arial" w:cs="Arial"/>
          <w:color w:val="00000A"/>
          <w:sz w:val="24"/>
          <w:szCs w:val="20"/>
        </w:rPr>
        <w:t xml:space="preserve">A submission of no case to answer is usually made at the close of the prosecution’s case in circumstances where the defence contends there is no evidence to prove an essential element of the charge against the defendant or the evidence adduced by the prosecution has been so discredited </w:t>
      </w:r>
      <w:r w:rsidR="004A1E87">
        <w:rPr>
          <w:rFonts w:ascii="Arial" w:hAnsi="Arial" w:cs="Arial"/>
          <w:color w:val="00000A"/>
          <w:sz w:val="24"/>
          <w:szCs w:val="20"/>
        </w:rPr>
        <w:t>because of</w:t>
      </w:r>
      <w:r>
        <w:rPr>
          <w:rFonts w:ascii="Arial" w:hAnsi="Arial" w:cs="Arial"/>
          <w:color w:val="00000A"/>
          <w:sz w:val="24"/>
          <w:szCs w:val="20"/>
        </w:rPr>
        <w:t xml:space="preserve"> cross-examination or is so manifestly unreliable that no reasonable tribunal could safely convict upon it.</w:t>
      </w:r>
    </w:p>
    <w:p w14:paraId="3C0A8730" w14:textId="77777777" w:rsidR="005636A5" w:rsidRDefault="005636A5"/>
    <w:sectPr w:rsidR="005636A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29A37" w14:textId="77777777" w:rsidR="00982BC9" w:rsidRDefault="00982BC9">
      <w:pPr>
        <w:spacing w:after="0" w:line="240" w:lineRule="auto"/>
      </w:pPr>
      <w:r>
        <w:separator/>
      </w:r>
    </w:p>
  </w:endnote>
  <w:endnote w:type="continuationSeparator" w:id="0">
    <w:p w14:paraId="3C72591B" w14:textId="77777777" w:rsidR="00982BC9" w:rsidRDefault="00982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Italic">
    <w:altName w:val="Times New Roman"/>
    <w:charset w:val="01"/>
    <w:family w:val="roman"/>
    <w:pitch w:val="variable"/>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charset w:val="00"/>
    <w:family w:val="swiss"/>
    <w:pitch w:val="variable"/>
    <w:sig w:usb0="00000003" w:usb1="00000000" w:usb2="00000000" w:usb3="00000000" w:csb0="00000001" w:csb1="00000000"/>
  </w:font>
  <w:font w:name="Frutiger-BlackCn">
    <w:altName w:val="Calibri"/>
    <w:panose1 w:val="00000000000000000000"/>
    <w:charset w:val="4D"/>
    <w:family w:val="auto"/>
    <w:notTrueType/>
    <w:pitch w:val="default"/>
    <w:sig w:usb0="00000003" w:usb1="00000000" w:usb2="00000000" w:usb3="00000000" w:csb0="00000001" w:csb1="00000000"/>
  </w:font>
  <w:font w:name="StoneSerif">
    <w:altName w:val="Cambria"/>
    <w:charset w:val="01"/>
    <w:family w:val="roman"/>
    <w:pitch w:val="variable"/>
  </w:font>
  <w:font w:name="Frutiger-BoldCn">
    <w:altName w:val="Cambria"/>
    <w:charset w:val="01"/>
    <w:family w:val="roman"/>
    <w:pitch w:val="variable"/>
  </w:font>
  <w:font w:name="StoneSerif-Semibold">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UP Swift">
    <w:altName w:val="Calibri"/>
    <w:panose1 w:val="0200050308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2A63" w14:textId="77777777" w:rsidR="003C5DE1" w:rsidRDefault="003C5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81B4" w14:textId="77777777" w:rsidR="005636A5" w:rsidRDefault="00760D7E">
    <w:pPr>
      <w:pStyle w:val="Footer"/>
      <w:pBdr>
        <w:top w:val="single" w:sz="4" w:space="1" w:color="808080"/>
      </w:pBdr>
      <w:jc w:val="right"/>
      <w:rPr>
        <w:rFonts w:ascii="OUP Swift" w:hAnsi="OUP Swift"/>
        <w:color w:val="808080"/>
      </w:rPr>
    </w:pPr>
    <w:r>
      <w:rPr>
        <w:noProof/>
        <w:lang w:eastAsia="en-GB"/>
      </w:rPr>
      <w:drawing>
        <wp:inline distT="0" distB="0" distL="0" distR="0" wp14:anchorId="10B3C570" wp14:editId="5BAA0E49">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219200" cy="457200"/>
                  </a:xfrm>
                  <a:prstGeom prst="rect">
                    <a:avLst/>
                  </a:prstGeom>
                  <a:noFill/>
                  <a:ln w="9525">
                    <a:noFill/>
                    <a:miter lim="800000"/>
                    <a:headEnd/>
                    <a:tailEnd/>
                  </a:ln>
                </pic:spPr>
              </pic:pic>
            </a:graphicData>
          </a:graphic>
        </wp:inline>
      </w:drawing>
    </w:r>
  </w:p>
  <w:p w14:paraId="462C8718" w14:textId="09AFB3BD" w:rsidR="005636A5" w:rsidRDefault="00760D7E">
    <w:pPr>
      <w:pStyle w:val="Footer"/>
      <w:rPr>
        <w:rFonts w:ascii="Arial" w:hAnsi="Arial"/>
        <w:color w:val="808080"/>
      </w:rPr>
    </w:pPr>
    <w:r>
      <w:rPr>
        <w:rFonts w:ascii="Arial" w:hAnsi="Arial"/>
        <w:color w:val="808080"/>
      </w:rPr>
      <w:t xml:space="preserve">© Oxford </w:t>
    </w:r>
    <w:r w:rsidR="00700359">
      <w:rPr>
        <w:rFonts w:ascii="Arial" w:hAnsi="Arial"/>
        <w:color w:val="808080"/>
      </w:rPr>
      <w:t>University Press, 20</w:t>
    </w:r>
    <w:r w:rsidR="00143BF0">
      <w:rPr>
        <w:rFonts w:ascii="Arial" w:hAnsi="Arial"/>
        <w:color w:val="808080"/>
      </w:rPr>
      <w:t>2</w:t>
    </w:r>
    <w:r w:rsidR="003C5DE1">
      <w:rPr>
        <w:rFonts w:ascii="Arial" w:hAnsi="Arial"/>
        <w:color w:val="808080"/>
      </w:rPr>
      <w:t>2</w:t>
    </w:r>
    <w:r>
      <w:rPr>
        <w:rFonts w:ascii="Arial" w:hAnsi="Arial"/>
        <w:color w:val="808080"/>
      </w:rPr>
      <w:t>.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B7EFC" w14:textId="77777777" w:rsidR="003C5DE1" w:rsidRDefault="003C5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08368" w14:textId="77777777" w:rsidR="00982BC9" w:rsidRDefault="00982BC9">
      <w:pPr>
        <w:spacing w:after="0" w:line="240" w:lineRule="auto"/>
      </w:pPr>
      <w:r>
        <w:separator/>
      </w:r>
    </w:p>
  </w:footnote>
  <w:footnote w:type="continuationSeparator" w:id="0">
    <w:p w14:paraId="4C758BC3" w14:textId="77777777" w:rsidR="00982BC9" w:rsidRDefault="00982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D1B8" w14:textId="77777777" w:rsidR="003C5DE1" w:rsidRDefault="003C5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81B80" w14:textId="3430F418" w:rsidR="005636A5" w:rsidRDefault="00760D7E">
    <w:pPr>
      <w:pStyle w:val="Header"/>
      <w:pBdr>
        <w:bottom w:val="single" w:sz="4" w:space="1" w:color="808080"/>
      </w:pBdr>
      <w:jc w:val="center"/>
    </w:pPr>
    <w:r>
      <w:rPr>
        <w:rFonts w:ascii="Arial" w:hAnsi="Arial"/>
        <w:color w:val="808080"/>
        <w:sz w:val="24"/>
      </w:rPr>
      <w:t xml:space="preserve">Hannibal &amp; Mountford: </w:t>
    </w:r>
    <w:r>
      <w:rPr>
        <w:rFonts w:ascii="Arial" w:hAnsi="Arial"/>
        <w:i/>
        <w:color w:val="808080"/>
        <w:sz w:val="24"/>
      </w:rPr>
      <w:t>Criminal Litigation</w:t>
    </w:r>
    <w:r>
      <w:rPr>
        <w:rFonts w:ascii="Arial" w:hAnsi="Arial"/>
        <w:color w:val="808080"/>
        <w:sz w:val="24"/>
      </w:rPr>
      <w:t xml:space="preserve"> </w:t>
    </w:r>
    <w:r w:rsidR="003C5DE1" w:rsidRPr="003C5DE1">
      <w:rPr>
        <w:rFonts w:ascii="Arial" w:hAnsi="Arial"/>
        <w:iCs/>
        <w:color w:val="808080"/>
        <w:sz w:val="24"/>
      </w:rPr>
      <w:t>18e</w:t>
    </w:r>
  </w:p>
  <w:p w14:paraId="4FD3B878" w14:textId="77777777" w:rsidR="005636A5" w:rsidRDefault="00760D7E">
    <w:pPr>
      <w:pStyle w:val="Header"/>
      <w:pBdr>
        <w:bottom w:val="single" w:sz="4" w:space="1" w:color="808080"/>
      </w:pBdr>
      <w:jc w:val="center"/>
      <w:rPr>
        <w:rFonts w:ascii="Arial" w:hAnsi="Arial"/>
        <w:color w:val="808080"/>
        <w:sz w:val="24"/>
      </w:rPr>
    </w:pPr>
    <w:r>
      <w:rPr>
        <w:rFonts w:ascii="Arial" w:hAnsi="Arial"/>
        <w:color w:val="808080"/>
        <w:sz w:val="24"/>
      </w:rPr>
      <w:t>Answers to self-test questions – Chapter 12</w:t>
    </w:r>
  </w:p>
  <w:p w14:paraId="0858AB90" w14:textId="77777777" w:rsidR="005636A5" w:rsidRDefault="005636A5">
    <w:pPr>
      <w:pStyle w:val="Header"/>
      <w:pBdr>
        <w:bottom w:val="single" w:sz="4" w:space="1" w:color="808080"/>
      </w:pBdr>
      <w:jc w:val="center"/>
      <w:rPr>
        <w:rFonts w:ascii="Arial" w:hAnsi="Arial"/>
        <w:color w:val="808080"/>
        <w:sz w:val="24"/>
      </w:rPr>
    </w:pPr>
  </w:p>
  <w:p w14:paraId="4CBA703B" w14:textId="77777777" w:rsidR="005636A5" w:rsidRDefault="005636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4A670" w14:textId="77777777" w:rsidR="003C5DE1" w:rsidRDefault="003C5D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36A5"/>
    <w:rsid w:val="00143BF0"/>
    <w:rsid w:val="003C5DE1"/>
    <w:rsid w:val="004A1E87"/>
    <w:rsid w:val="005636A5"/>
    <w:rsid w:val="00700359"/>
    <w:rsid w:val="00760D7E"/>
    <w:rsid w:val="00982BC9"/>
    <w:rsid w:val="00B913DB"/>
    <w:rsid w:val="00E76BE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71935"/>
  <w15:docId w15:val="{DB9D9D5C-8DA6-4FA4-9401-E3762C84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7B"/>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61FA9"/>
  </w:style>
  <w:style w:type="character" w:customStyle="1" w:styleId="FooterChar">
    <w:name w:val="Footer Char"/>
    <w:basedOn w:val="DefaultParagraphFont"/>
    <w:link w:val="Footer"/>
    <w:uiPriority w:val="99"/>
    <w:qFormat/>
    <w:rsid w:val="00861FA9"/>
  </w:style>
  <w:style w:type="character" w:customStyle="1" w:styleId="BalloonTextChar">
    <w:name w:val="Balloon Text Char"/>
    <w:basedOn w:val="DefaultParagraphFont"/>
    <w:link w:val="BalloonText"/>
    <w:uiPriority w:val="99"/>
    <w:semiHidden/>
    <w:qFormat/>
    <w:rsid w:val="00861FA9"/>
    <w:rPr>
      <w:rFonts w:ascii="Tahoma" w:hAnsi="Tahoma" w:cs="Tahoma"/>
      <w:sz w:val="16"/>
      <w:szCs w:val="16"/>
    </w:rPr>
  </w:style>
  <w:style w:type="character" w:customStyle="1" w:styleId="frutigerboldital">
    <w:name w:val="frutiger.boldital"/>
    <w:qFormat/>
    <w:rsid w:val="00403E89"/>
    <w:rPr>
      <w:rFonts w:ascii="Frutiger-BoldItalic" w:hAnsi="Frutiger-BoldItalic" w:cs="Frutiger-BoldItalic"/>
      <w:b/>
      <w:bCs/>
      <w:i/>
      <w:iCs/>
    </w:rPr>
  </w:style>
  <w:style w:type="character" w:customStyle="1" w:styleId="italic">
    <w:name w:val="italic"/>
    <w:qFormat/>
    <w:rsid w:val="00712106"/>
    <w:rPr>
      <w:i/>
      <w:iCs/>
    </w:rPr>
  </w:style>
  <w:style w:type="paragraph" w:customStyle="1" w:styleId="Heading">
    <w:name w:val="Heading"/>
    <w:basedOn w:val="Normal"/>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Header">
    <w:name w:val="header"/>
    <w:basedOn w:val="Normal"/>
    <w:link w:val="HeaderChar"/>
    <w:unhideWhenUsed/>
    <w:rsid w:val="00861FA9"/>
    <w:pPr>
      <w:tabs>
        <w:tab w:val="center" w:pos="4513"/>
        <w:tab w:val="right" w:pos="9026"/>
      </w:tabs>
      <w:spacing w:after="0" w:line="240" w:lineRule="auto"/>
    </w:pPr>
  </w:style>
  <w:style w:type="paragraph" w:styleId="Footer">
    <w:name w:val="footer"/>
    <w:basedOn w:val="Normal"/>
    <w:link w:val="FooterChar"/>
    <w:uiPriority w:val="99"/>
    <w:unhideWhenUsed/>
    <w:rsid w:val="00861FA9"/>
    <w:pPr>
      <w:tabs>
        <w:tab w:val="center" w:pos="4513"/>
        <w:tab w:val="right" w:pos="9026"/>
      </w:tabs>
      <w:spacing w:after="0" w:line="240" w:lineRule="auto"/>
    </w:pPr>
  </w:style>
  <w:style w:type="paragraph" w:customStyle="1" w:styleId="APPA">
    <w:name w:val="APP_A"/>
    <w:basedOn w:val="Normal"/>
    <w:qFormat/>
    <w:rsid w:val="00861FA9"/>
    <w:pPr>
      <w:widowControl w:val="0"/>
      <w:spacing w:before="170" w:after="40" w:line="230" w:lineRule="atLeast"/>
      <w:textAlignment w:val="center"/>
    </w:pPr>
    <w:rPr>
      <w:rFonts w:ascii="Frutiger-BlackCn" w:eastAsia="Times New Roman" w:hAnsi="Frutiger-BlackCn" w:cs="Frutiger-BlackCn"/>
      <w:color w:val="000000"/>
      <w:spacing w:val="17"/>
      <w:sz w:val="18"/>
      <w:szCs w:val="18"/>
    </w:rPr>
  </w:style>
  <w:style w:type="paragraph" w:customStyle="1" w:styleId="APPL">
    <w:name w:val="APP_L"/>
    <w:basedOn w:val="Normal"/>
    <w:qFormat/>
    <w:rsid w:val="00861FA9"/>
    <w:pPr>
      <w:widowControl w:val="0"/>
      <w:tabs>
        <w:tab w:val="left" w:pos="168"/>
        <w:tab w:val="left" w:pos="360"/>
        <w:tab w:val="left" w:pos="460"/>
      </w:tabs>
      <w:spacing w:after="70" w:line="230" w:lineRule="atLeast"/>
      <w:jc w:val="both"/>
      <w:textAlignment w:val="center"/>
    </w:pPr>
    <w:rPr>
      <w:rFonts w:ascii="StoneSerif" w:eastAsia="Times New Roman" w:hAnsi="StoneSerif" w:cs="StoneSerif"/>
      <w:color w:val="000000"/>
      <w:sz w:val="16"/>
      <w:szCs w:val="16"/>
    </w:rPr>
  </w:style>
  <w:style w:type="paragraph" w:styleId="BalloonText">
    <w:name w:val="Balloon Text"/>
    <w:basedOn w:val="Normal"/>
    <w:link w:val="BalloonTextChar"/>
    <w:uiPriority w:val="99"/>
    <w:semiHidden/>
    <w:unhideWhenUsed/>
    <w:qFormat/>
    <w:rsid w:val="00861FA9"/>
    <w:pPr>
      <w:spacing w:after="0" w:line="240" w:lineRule="auto"/>
    </w:pPr>
    <w:rPr>
      <w:rFonts w:ascii="Tahoma" w:hAnsi="Tahoma" w:cs="Tahoma"/>
      <w:sz w:val="16"/>
      <w:szCs w:val="16"/>
    </w:rPr>
  </w:style>
  <w:style w:type="paragraph" w:customStyle="1" w:styleId="APPB">
    <w:name w:val="APP_B"/>
    <w:basedOn w:val="Normal"/>
    <w:qFormat/>
    <w:rsid w:val="00403E89"/>
    <w:pPr>
      <w:widowControl w:val="0"/>
      <w:spacing w:before="232" w:after="40" w:line="230" w:lineRule="atLeast"/>
      <w:textAlignment w:val="center"/>
    </w:pPr>
    <w:rPr>
      <w:rFonts w:ascii="Frutiger-BoldCn" w:eastAsia="Times New Roman" w:hAnsi="Frutiger-BoldCn" w:cs="Frutiger-BoldCn"/>
      <w:b/>
      <w:bCs/>
      <w:color w:val="000000"/>
      <w:spacing w:val="15"/>
      <w:sz w:val="16"/>
      <w:szCs w:val="16"/>
    </w:rPr>
  </w:style>
  <w:style w:type="paragraph" w:customStyle="1" w:styleId="APPTXTfirst">
    <w:name w:val="APP_TXT.first"/>
    <w:basedOn w:val="Normal"/>
    <w:qFormat/>
    <w:rsid w:val="00403E89"/>
    <w:pPr>
      <w:widowControl w:val="0"/>
      <w:spacing w:after="0" w:line="230" w:lineRule="atLeast"/>
      <w:jc w:val="both"/>
      <w:textAlignment w:val="center"/>
    </w:pPr>
    <w:rPr>
      <w:rFonts w:ascii="StoneSerif" w:eastAsia="Times New Roman" w:hAnsi="StoneSerif" w:cs="StoneSerif"/>
      <w:color w:val="000000"/>
      <w:sz w:val="16"/>
      <w:szCs w:val="16"/>
    </w:rPr>
  </w:style>
  <w:style w:type="paragraph" w:customStyle="1" w:styleId="APPTXT">
    <w:name w:val="APP_TXT"/>
    <w:basedOn w:val="Normal"/>
    <w:qFormat/>
    <w:rsid w:val="00403E89"/>
    <w:pPr>
      <w:widowControl w:val="0"/>
      <w:spacing w:after="0" w:line="230" w:lineRule="atLeast"/>
      <w:ind w:firstLine="160"/>
      <w:jc w:val="both"/>
      <w:textAlignment w:val="center"/>
    </w:pPr>
    <w:rPr>
      <w:rFonts w:ascii="StoneSerif" w:eastAsia="Times New Roman" w:hAnsi="StoneSerif" w:cs="StoneSerif"/>
      <w:color w:val="000000"/>
      <w:sz w:val="16"/>
      <w:szCs w:val="16"/>
    </w:rPr>
  </w:style>
  <w:style w:type="paragraph" w:customStyle="1" w:styleId="APPC">
    <w:name w:val="APP_C"/>
    <w:basedOn w:val="Normal"/>
    <w:qFormat/>
    <w:rsid w:val="00D6575A"/>
    <w:pPr>
      <w:widowControl w:val="0"/>
      <w:spacing w:before="170" w:after="40" w:line="230" w:lineRule="atLeast"/>
      <w:textAlignment w:val="center"/>
    </w:pPr>
    <w:rPr>
      <w:rFonts w:ascii="StoneSerif-Semibold" w:eastAsia="Times New Roman" w:hAnsi="StoneSerif-Semibold" w:cs="StoneSerif-Semibold"/>
      <w:color w:val="000000"/>
      <w:spacing w:val="15"/>
      <w:sz w:val="16"/>
      <w:szCs w:val="16"/>
    </w:rPr>
  </w:style>
  <w:style w:type="paragraph" w:customStyle="1" w:styleId="EXTONLY">
    <w:name w:val="EXT_ONLY"/>
    <w:basedOn w:val="Normal"/>
    <w:qFormat/>
    <w:rsid w:val="00D6575A"/>
    <w:pPr>
      <w:widowControl w:val="0"/>
      <w:spacing w:before="120" w:after="120" w:line="210" w:lineRule="atLeast"/>
      <w:ind w:left="160" w:right="160"/>
      <w:jc w:val="both"/>
      <w:textAlignment w:val="center"/>
    </w:pPr>
    <w:rPr>
      <w:rFonts w:ascii="StoneSerif" w:eastAsia="Times New Roman" w:hAnsi="StoneSerif" w:cs="StoneSerif"/>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Helen</dc:creator>
  <cp:lastModifiedBy>MERRICK, Hayden</cp:lastModifiedBy>
  <cp:revision>5</cp:revision>
  <cp:lastPrinted>2018-05-25T13:17:00Z</cp:lastPrinted>
  <dcterms:created xsi:type="dcterms:W3CDTF">2019-07-22T12:51:00Z</dcterms:created>
  <dcterms:modified xsi:type="dcterms:W3CDTF">2022-06-13T09:57:00Z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Oxford University Press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i4>-1010556607</vt:i4>
  </property>
  <property fmtid="{D5CDD505-2E9C-101B-9397-08002B2CF9AE}" pid="10" name="_NewReviewCycle">
    <vt:lpwstr/>
  </property>
  <property fmtid="{D5CDD505-2E9C-101B-9397-08002B2CF9AE}" pid="11" name="_EmailSubject">
    <vt:lpwstr>Hannibal and Mountford ORC</vt:lpwstr>
  </property>
  <property fmtid="{D5CDD505-2E9C-101B-9397-08002B2CF9AE}" pid="12" name="_AuthorEmail">
    <vt:lpwstr>Liana.Green@oup.com</vt:lpwstr>
  </property>
  <property fmtid="{D5CDD505-2E9C-101B-9397-08002B2CF9AE}" pid="13" name="_AuthorEmailDisplayName">
    <vt:lpwstr>GREEN, Liana</vt:lpwstr>
  </property>
  <property fmtid="{D5CDD505-2E9C-101B-9397-08002B2CF9AE}" pid="14" name="_ReviewingToolsShownOnce">
    <vt:lpwstr/>
  </property>
  <property fmtid="{D5CDD505-2E9C-101B-9397-08002B2CF9AE}" pid="15" name="MSIP_Label_be5cb09a-2992-49d6-8ac9-5f63e7b1ad2f_Enabled">
    <vt:lpwstr>true</vt:lpwstr>
  </property>
  <property fmtid="{D5CDD505-2E9C-101B-9397-08002B2CF9AE}" pid="16" name="MSIP_Label_be5cb09a-2992-49d6-8ac9-5f63e7b1ad2f_SetDate">
    <vt:lpwstr>2022-06-13T09:57:46Z</vt:lpwstr>
  </property>
  <property fmtid="{D5CDD505-2E9C-101B-9397-08002B2CF9AE}" pid="17" name="MSIP_Label_be5cb09a-2992-49d6-8ac9-5f63e7b1ad2f_Method">
    <vt:lpwstr>Standard</vt:lpwstr>
  </property>
  <property fmtid="{D5CDD505-2E9C-101B-9397-08002B2CF9AE}" pid="18" name="MSIP_Label_be5cb09a-2992-49d6-8ac9-5f63e7b1ad2f_Name">
    <vt:lpwstr>Controlled</vt:lpwstr>
  </property>
  <property fmtid="{D5CDD505-2E9C-101B-9397-08002B2CF9AE}" pid="19" name="MSIP_Label_be5cb09a-2992-49d6-8ac9-5f63e7b1ad2f_SiteId">
    <vt:lpwstr>91761b62-4c45-43f5-9f0e-be8ad9b551ff</vt:lpwstr>
  </property>
  <property fmtid="{D5CDD505-2E9C-101B-9397-08002B2CF9AE}" pid="20" name="MSIP_Label_be5cb09a-2992-49d6-8ac9-5f63e7b1ad2f_ActionId">
    <vt:lpwstr>9208ec86-5e7b-4c56-84f2-0000abe3bc15</vt:lpwstr>
  </property>
  <property fmtid="{D5CDD505-2E9C-101B-9397-08002B2CF9AE}" pid="21" name="MSIP_Label_be5cb09a-2992-49d6-8ac9-5f63e7b1ad2f_ContentBits">
    <vt:lpwstr>0</vt:lpwstr>
  </property>
</Properties>
</file>