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16C8" w14:textId="77777777" w:rsidR="007C7F8B" w:rsidRDefault="008D2DF0">
      <w:pPr>
        <w:pStyle w:val="APPA"/>
        <w:suppressAutoHyphens w:val="0"/>
        <w:spacing w:before="0" w:after="0" w:line="480" w:lineRule="auto"/>
        <w:jc w:val="both"/>
        <w:rPr>
          <w:rFonts w:ascii="Arial" w:hAnsi="Arial" w:cs="Arial"/>
          <w:b/>
          <w:color w:val="00000A"/>
          <w:spacing w:val="0"/>
          <w:sz w:val="22"/>
          <w:szCs w:val="20"/>
        </w:rPr>
      </w:pPr>
      <w:r>
        <w:rPr>
          <w:rFonts w:ascii="Arial" w:hAnsi="Arial" w:cs="Arial"/>
          <w:b/>
          <w:color w:val="00000A"/>
          <w:spacing w:val="0"/>
          <w:sz w:val="22"/>
          <w:szCs w:val="20"/>
        </w:rPr>
        <w:t>CHAPTER 15</w:t>
      </w:r>
    </w:p>
    <w:p w14:paraId="2758A377" w14:textId="77777777" w:rsidR="007C7F8B" w:rsidRDefault="007C7F8B">
      <w:pPr>
        <w:pStyle w:val="APPA"/>
        <w:suppressAutoHyphens w:val="0"/>
        <w:spacing w:before="0" w:after="0" w:line="480" w:lineRule="auto"/>
        <w:jc w:val="both"/>
        <w:rPr>
          <w:rFonts w:ascii="Arial" w:hAnsi="Arial" w:cs="Arial"/>
          <w:b/>
          <w:color w:val="00000A"/>
          <w:spacing w:val="0"/>
          <w:sz w:val="22"/>
          <w:szCs w:val="20"/>
        </w:rPr>
      </w:pPr>
    </w:p>
    <w:p w14:paraId="0E83D789" w14:textId="77777777" w:rsidR="007C7F8B" w:rsidRDefault="008D2DF0">
      <w:pPr>
        <w:pStyle w:val="APPB"/>
        <w:suppressAutoHyphens w:val="0"/>
        <w:spacing w:before="0" w:after="0" w:line="480" w:lineRule="auto"/>
        <w:jc w:val="both"/>
        <w:rPr>
          <w:rFonts w:ascii="Arial" w:hAnsi="Arial" w:cs="Arial"/>
          <w:color w:val="00000A"/>
          <w:spacing w:val="0"/>
          <w:sz w:val="22"/>
          <w:szCs w:val="20"/>
        </w:rPr>
      </w:pPr>
      <w:r>
        <w:rPr>
          <w:rFonts w:ascii="Arial" w:hAnsi="Arial" w:cs="Arial"/>
          <w:color w:val="00000A"/>
          <w:spacing w:val="0"/>
          <w:sz w:val="22"/>
          <w:szCs w:val="20"/>
        </w:rPr>
        <w:t>QUESTION 1</w:t>
      </w:r>
    </w:p>
    <w:p w14:paraId="72F06B4C" w14:textId="77777777" w:rsidR="007C7F8B" w:rsidRDefault="008D2DF0">
      <w:pPr>
        <w:pStyle w:val="APPTXTfirst"/>
        <w:spacing w:line="480" w:lineRule="auto"/>
        <w:rPr>
          <w:rFonts w:ascii="Arial" w:hAnsi="Arial" w:cs="Arial"/>
          <w:color w:val="00000A"/>
          <w:sz w:val="22"/>
          <w:szCs w:val="20"/>
        </w:rPr>
      </w:pPr>
      <w:r>
        <w:rPr>
          <w:rFonts w:ascii="Arial" w:hAnsi="Arial" w:cs="Arial"/>
          <w:color w:val="00000A"/>
          <w:sz w:val="22"/>
          <w:szCs w:val="20"/>
        </w:rPr>
        <w:t xml:space="preserve">The general rule in a criminal case is that the prosecution bears the burden of proving a defendant’s guilt beyond reasonable doubt. It is known as the legal burden of proof and it requires the prosecution to prove the essential elements of the offence charged. The principle is enshrined in </w:t>
      </w:r>
      <w:r>
        <w:rPr>
          <w:rStyle w:val="italic"/>
          <w:rFonts w:ascii="Arial" w:hAnsi="Arial" w:cs="Arial"/>
          <w:color w:val="00000A"/>
          <w:sz w:val="22"/>
          <w:szCs w:val="20"/>
        </w:rPr>
        <w:t>Woolmington v DPP</w:t>
      </w:r>
      <w:r>
        <w:rPr>
          <w:rFonts w:ascii="Arial" w:hAnsi="Arial" w:cs="Arial"/>
          <w:color w:val="00000A"/>
          <w:sz w:val="22"/>
          <w:szCs w:val="20"/>
        </w:rPr>
        <w:t xml:space="preserve"> [1935] AC 463 and is consistent with the presumption of innocence safeguarded by Article 6(2) ECHR.</w:t>
      </w:r>
    </w:p>
    <w:p w14:paraId="0C513C39" w14:textId="77777777" w:rsidR="007C7F8B" w:rsidRDefault="007C7F8B">
      <w:pPr>
        <w:pStyle w:val="APPTXTfirst"/>
        <w:spacing w:line="480" w:lineRule="auto"/>
        <w:rPr>
          <w:rFonts w:ascii="Arial" w:hAnsi="Arial" w:cs="Arial"/>
          <w:color w:val="00000A"/>
          <w:sz w:val="22"/>
          <w:szCs w:val="20"/>
        </w:rPr>
      </w:pPr>
    </w:p>
    <w:p w14:paraId="238002B1" w14:textId="77777777" w:rsidR="007C7F8B" w:rsidRDefault="008D2DF0">
      <w:pPr>
        <w:pStyle w:val="APPB"/>
        <w:suppressAutoHyphens w:val="0"/>
        <w:spacing w:before="0" w:after="0" w:line="480" w:lineRule="auto"/>
        <w:jc w:val="both"/>
        <w:rPr>
          <w:rFonts w:ascii="Arial" w:hAnsi="Arial" w:cs="Arial"/>
          <w:color w:val="00000A"/>
          <w:spacing w:val="0"/>
          <w:sz w:val="22"/>
          <w:szCs w:val="20"/>
        </w:rPr>
      </w:pPr>
      <w:r>
        <w:rPr>
          <w:rFonts w:ascii="Arial" w:hAnsi="Arial" w:cs="Arial"/>
          <w:color w:val="00000A"/>
          <w:spacing w:val="0"/>
          <w:sz w:val="22"/>
          <w:szCs w:val="20"/>
        </w:rPr>
        <w:t>QUESTION 2</w:t>
      </w:r>
    </w:p>
    <w:p w14:paraId="00F40BAF" w14:textId="77777777" w:rsidR="007C7F8B" w:rsidRDefault="008D2DF0">
      <w:pPr>
        <w:pStyle w:val="APPTXTfirst"/>
        <w:spacing w:line="480" w:lineRule="auto"/>
        <w:rPr>
          <w:rFonts w:ascii="Arial" w:hAnsi="Arial" w:cs="Arial"/>
          <w:color w:val="00000A"/>
          <w:sz w:val="22"/>
          <w:szCs w:val="20"/>
        </w:rPr>
      </w:pPr>
      <w:r>
        <w:rPr>
          <w:rFonts w:ascii="Arial" w:hAnsi="Arial" w:cs="Arial"/>
          <w:color w:val="00000A"/>
          <w:sz w:val="22"/>
          <w:szCs w:val="20"/>
        </w:rPr>
        <w:t>Reverse onus clauses refer to those instances in which a legal burden of proof is cast on a defendant to effectively prove his innocence. A statutory section may impose a legal burden of proof on a defendant expressly or by implication. A number of different statutes impose a legal burden of proof on a defendant. For this reason, it is always important to research the elements of the offence which your client is suspected of or with which the client is charged.</w:t>
      </w:r>
    </w:p>
    <w:p w14:paraId="2D70E1B6" w14:textId="77777777" w:rsidR="007C7F8B" w:rsidRDefault="007C7F8B">
      <w:pPr>
        <w:pStyle w:val="APPTXTfirst"/>
        <w:spacing w:line="480" w:lineRule="auto"/>
        <w:rPr>
          <w:rFonts w:ascii="Arial" w:hAnsi="Arial" w:cs="Arial"/>
          <w:color w:val="00000A"/>
          <w:sz w:val="22"/>
          <w:szCs w:val="20"/>
        </w:rPr>
      </w:pPr>
    </w:p>
    <w:p w14:paraId="5E8FD23E" w14:textId="77777777" w:rsidR="007C7F8B" w:rsidRDefault="008D2DF0">
      <w:pPr>
        <w:pStyle w:val="APPB"/>
        <w:suppressAutoHyphens w:val="0"/>
        <w:spacing w:before="0" w:after="0" w:line="480" w:lineRule="auto"/>
        <w:jc w:val="both"/>
        <w:rPr>
          <w:rFonts w:ascii="Arial" w:hAnsi="Arial" w:cs="Arial"/>
          <w:color w:val="00000A"/>
          <w:spacing w:val="0"/>
          <w:sz w:val="22"/>
          <w:szCs w:val="20"/>
        </w:rPr>
      </w:pPr>
      <w:r>
        <w:rPr>
          <w:rFonts w:ascii="Arial" w:hAnsi="Arial" w:cs="Arial"/>
          <w:color w:val="00000A"/>
          <w:spacing w:val="0"/>
          <w:sz w:val="22"/>
          <w:szCs w:val="20"/>
        </w:rPr>
        <w:t>QUESTION 3</w:t>
      </w:r>
    </w:p>
    <w:p w14:paraId="4E8172AC" w14:textId="77777777" w:rsidR="007C7F8B" w:rsidRDefault="008D2DF0">
      <w:pPr>
        <w:pStyle w:val="APPTXTfirst"/>
        <w:spacing w:line="480" w:lineRule="auto"/>
        <w:rPr>
          <w:rFonts w:ascii="Arial" w:hAnsi="Arial" w:cs="Arial"/>
          <w:color w:val="00000A"/>
          <w:sz w:val="22"/>
          <w:szCs w:val="20"/>
        </w:rPr>
      </w:pPr>
      <w:r>
        <w:rPr>
          <w:rFonts w:ascii="Arial" w:hAnsi="Arial" w:cs="Arial"/>
          <w:color w:val="00000A"/>
          <w:sz w:val="22"/>
          <w:szCs w:val="20"/>
        </w:rPr>
        <w:t xml:space="preserve">The current guidelines are contained in the Court of Appeal’s judgment in </w:t>
      </w:r>
      <w:r>
        <w:rPr>
          <w:rStyle w:val="italic"/>
          <w:rFonts w:ascii="Arial" w:hAnsi="Arial" w:cs="Arial"/>
          <w:color w:val="00000A"/>
          <w:sz w:val="22"/>
          <w:szCs w:val="20"/>
        </w:rPr>
        <w:t>Attorney-General’s Reference (No. 1 of 2004</w:t>
      </w:r>
      <w:r>
        <w:rPr>
          <w:rStyle w:val="ITALIC0"/>
          <w:rFonts w:ascii="Arial" w:hAnsi="Arial" w:cs="Arial"/>
          <w:color w:val="00000A"/>
          <w:sz w:val="22"/>
          <w:szCs w:val="20"/>
        </w:rPr>
        <w:t>)</w:t>
      </w:r>
      <w:r>
        <w:rPr>
          <w:rFonts w:ascii="Arial" w:hAnsi="Arial" w:cs="Arial"/>
          <w:color w:val="00000A"/>
          <w:sz w:val="22"/>
          <w:szCs w:val="20"/>
        </w:rPr>
        <w:t xml:space="preserve"> [2004] 1 WLR 2111. Relevant factors include:</w:t>
      </w:r>
    </w:p>
    <w:p w14:paraId="5719000F" w14:textId="77777777" w:rsidR="007C7F8B" w:rsidRDefault="008D2DF0">
      <w:pPr>
        <w:pStyle w:val="APPL"/>
        <w:spacing w:after="0" w:line="480" w:lineRule="auto"/>
        <w:ind w:left="238" w:hanging="238"/>
        <w:rPr>
          <w:rFonts w:ascii="Arial" w:hAnsi="Arial" w:cs="Arial"/>
          <w:color w:val="00000A"/>
          <w:sz w:val="22"/>
          <w:szCs w:val="20"/>
        </w:rPr>
      </w:pPr>
      <w:r>
        <w:rPr>
          <w:rFonts w:ascii="Arial" w:hAnsi="Arial" w:cs="Arial"/>
          <w:color w:val="00000A"/>
          <w:sz w:val="22"/>
          <w:szCs w:val="20"/>
        </w:rPr>
        <w:t>•</w:t>
      </w:r>
      <w:r>
        <w:rPr>
          <w:rFonts w:ascii="Arial" w:hAnsi="Arial" w:cs="Arial"/>
          <w:color w:val="00000A"/>
          <w:sz w:val="22"/>
          <w:szCs w:val="20"/>
        </w:rPr>
        <w:tab/>
        <w:t>the definition of the offence and the elements the prosecution must prove;</w:t>
      </w:r>
    </w:p>
    <w:p w14:paraId="7524158A" w14:textId="77777777" w:rsidR="007C7F8B" w:rsidRDefault="008D2DF0">
      <w:pPr>
        <w:pStyle w:val="APPL"/>
        <w:spacing w:after="0" w:line="480" w:lineRule="auto"/>
        <w:ind w:left="238" w:hanging="238"/>
        <w:rPr>
          <w:rFonts w:ascii="Arial" w:hAnsi="Arial" w:cs="Arial"/>
          <w:color w:val="00000A"/>
          <w:sz w:val="22"/>
          <w:szCs w:val="20"/>
        </w:rPr>
      </w:pPr>
      <w:r>
        <w:rPr>
          <w:rFonts w:ascii="Arial" w:hAnsi="Arial" w:cs="Arial"/>
          <w:color w:val="00000A"/>
          <w:sz w:val="22"/>
          <w:szCs w:val="20"/>
        </w:rPr>
        <w:t>•</w:t>
      </w:r>
      <w:r>
        <w:rPr>
          <w:rFonts w:ascii="Arial" w:hAnsi="Arial" w:cs="Arial"/>
          <w:color w:val="00000A"/>
          <w:sz w:val="22"/>
          <w:szCs w:val="20"/>
        </w:rPr>
        <w:tab/>
        <w:t>the ease with which a defendant can establish a particular defence;</w:t>
      </w:r>
    </w:p>
    <w:p w14:paraId="045B4406" w14:textId="77777777" w:rsidR="007C7F8B" w:rsidRDefault="008D2DF0">
      <w:pPr>
        <w:pStyle w:val="APPL"/>
        <w:spacing w:after="0" w:line="480" w:lineRule="auto"/>
        <w:ind w:left="238" w:hanging="238"/>
        <w:rPr>
          <w:rFonts w:ascii="Arial" w:hAnsi="Arial" w:cs="Arial"/>
          <w:color w:val="00000A"/>
          <w:sz w:val="22"/>
          <w:szCs w:val="20"/>
        </w:rPr>
      </w:pPr>
      <w:r>
        <w:rPr>
          <w:rFonts w:ascii="Arial" w:hAnsi="Arial" w:cs="Arial"/>
          <w:color w:val="00000A"/>
          <w:sz w:val="22"/>
          <w:szCs w:val="20"/>
        </w:rPr>
        <w:t>•</w:t>
      </w:r>
      <w:r>
        <w:rPr>
          <w:rFonts w:ascii="Arial" w:hAnsi="Arial" w:cs="Arial"/>
          <w:color w:val="00000A"/>
          <w:sz w:val="22"/>
          <w:szCs w:val="20"/>
        </w:rPr>
        <w:tab/>
        <w:t>whether the offence is of a regulatory nature;</w:t>
      </w:r>
    </w:p>
    <w:p w14:paraId="3C4D5B71" w14:textId="77777777" w:rsidR="007C7F8B" w:rsidRDefault="008D2DF0">
      <w:pPr>
        <w:pStyle w:val="APPL"/>
        <w:spacing w:after="0" w:line="480" w:lineRule="auto"/>
        <w:ind w:left="238" w:hanging="238"/>
        <w:rPr>
          <w:rFonts w:ascii="Arial" w:hAnsi="Arial" w:cs="Arial"/>
          <w:color w:val="00000A"/>
          <w:sz w:val="22"/>
          <w:szCs w:val="20"/>
        </w:rPr>
      </w:pPr>
      <w:r>
        <w:rPr>
          <w:rFonts w:ascii="Arial" w:hAnsi="Arial" w:cs="Arial"/>
          <w:color w:val="00000A"/>
          <w:sz w:val="22"/>
          <w:szCs w:val="20"/>
        </w:rPr>
        <w:t>•</w:t>
      </w:r>
      <w:r>
        <w:rPr>
          <w:rFonts w:ascii="Arial" w:hAnsi="Arial" w:cs="Arial"/>
          <w:color w:val="00000A"/>
          <w:sz w:val="22"/>
          <w:szCs w:val="20"/>
        </w:rPr>
        <w:tab/>
        <w:t>the severity of the penalty that conviction carries;</w:t>
      </w:r>
    </w:p>
    <w:p w14:paraId="7EB9DFE7" w14:textId="77777777" w:rsidR="007C7F8B" w:rsidRDefault="008D2DF0">
      <w:pPr>
        <w:pStyle w:val="APPL"/>
        <w:spacing w:after="0" w:line="480" w:lineRule="auto"/>
        <w:ind w:left="238" w:hanging="238"/>
      </w:pPr>
      <w:r>
        <w:rPr>
          <w:rFonts w:ascii="Arial" w:hAnsi="Arial" w:cs="Arial"/>
          <w:color w:val="00000A"/>
          <w:sz w:val="22"/>
          <w:szCs w:val="20"/>
        </w:rPr>
        <w:t>•</w:t>
      </w:r>
      <w:r>
        <w:rPr>
          <w:rFonts w:ascii="Arial" w:hAnsi="Arial" w:cs="Arial"/>
          <w:color w:val="00000A"/>
          <w:sz w:val="22"/>
          <w:szCs w:val="20"/>
        </w:rPr>
        <w:tab/>
        <w:t>whether the imposition of a legal burden of proof is proportionate to the aim of the legislation and if it is not, whether it can be read down to impose an evidential burden of proof only.</w:t>
      </w:r>
    </w:p>
    <w:sectPr w:rsidR="007C7F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8A48" w14:textId="77777777" w:rsidR="008D2DF0" w:rsidRDefault="008D2DF0">
      <w:pPr>
        <w:spacing w:after="0" w:line="240" w:lineRule="auto"/>
      </w:pPr>
      <w:r>
        <w:separator/>
      </w:r>
    </w:p>
  </w:endnote>
  <w:endnote w:type="continuationSeparator" w:id="0">
    <w:p w14:paraId="3A344116" w14:textId="77777777" w:rsidR="008D2DF0" w:rsidRDefault="008D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E82A" w14:textId="77777777" w:rsidR="007263FA" w:rsidRDefault="00726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6E41" w14:textId="77777777" w:rsidR="007C7F8B" w:rsidRDefault="008D2DF0">
    <w:pPr>
      <w:pStyle w:val="Footer"/>
      <w:pBdr>
        <w:top w:val="single" w:sz="4" w:space="1" w:color="808080"/>
      </w:pBdr>
      <w:jc w:val="right"/>
      <w:rPr>
        <w:rFonts w:ascii="OUP Swift" w:hAnsi="OUP Swift"/>
        <w:color w:val="808080"/>
      </w:rPr>
    </w:pPr>
    <w:r>
      <w:rPr>
        <w:noProof/>
        <w:lang w:eastAsia="en-GB"/>
      </w:rPr>
      <w:drawing>
        <wp:inline distT="0" distB="0" distL="0" distR="0" wp14:anchorId="786FE05B" wp14:editId="76FEF65F">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63B8649D" w14:textId="5A028903" w:rsidR="007C7F8B" w:rsidRDefault="008D2DF0">
    <w:pPr>
      <w:pStyle w:val="Footer"/>
      <w:rPr>
        <w:rFonts w:ascii="Arial" w:hAnsi="Arial"/>
        <w:color w:val="808080"/>
      </w:rPr>
    </w:pPr>
    <w:r>
      <w:rPr>
        <w:rFonts w:ascii="Arial" w:hAnsi="Arial"/>
        <w:color w:val="808080"/>
      </w:rPr>
      <w:t>© Oxford University Press, 20</w:t>
    </w:r>
    <w:r w:rsidR="00B82FC5">
      <w:rPr>
        <w:rFonts w:ascii="Arial" w:hAnsi="Arial"/>
        <w:color w:val="808080"/>
      </w:rPr>
      <w:t>2</w:t>
    </w:r>
    <w:r w:rsidR="007263FA">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008D" w14:textId="77777777" w:rsidR="007263FA" w:rsidRDefault="00726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A9AA" w14:textId="77777777" w:rsidR="008D2DF0" w:rsidRDefault="008D2DF0">
      <w:pPr>
        <w:spacing w:after="0" w:line="240" w:lineRule="auto"/>
      </w:pPr>
      <w:r>
        <w:separator/>
      </w:r>
    </w:p>
  </w:footnote>
  <w:footnote w:type="continuationSeparator" w:id="0">
    <w:p w14:paraId="024CF8A0" w14:textId="77777777" w:rsidR="008D2DF0" w:rsidRDefault="008D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3E75" w14:textId="77777777" w:rsidR="007263FA" w:rsidRDefault="00726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710C" w14:textId="5F4472B7" w:rsidR="007C7F8B" w:rsidRPr="007263FA" w:rsidRDefault="008D2DF0">
    <w:pPr>
      <w:pStyle w:val="Header"/>
      <w:pBdr>
        <w:bottom w:val="single" w:sz="4" w:space="1" w:color="808080"/>
      </w:pBdr>
      <w:jc w:val="center"/>
      <w:rPr>
        <w:iCs/>
      </w:rP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7263FA" w:rsidRPr="007263FA">
      <w:rPr>
        <w:rFonts w:ascii="Arial" w:hAnsi="Arial"/>
        <w:iCs/>
        <w:color w:val="808080"/>
        <w:sz w:val="24"/>
      </w:rPr>
      <w:t>18e</w:t>
    </w:r>
  </w:p>
  <w:p w14:paraId="57DFA317" w14:textId="77777777" w:rsidR="007C7F8B" w:rsidRDefault="008D2DF0">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15</w:t>
    </w:r>
  </w:p>
  <w:p w14:paraId="39809002" w14:textId="77777777" w:rsidR="007C7F8B" w:rsidRDefault="007C7F8B">
    <w:pPr>
      <w:pStyle w:val="Header"/>
      <w:pBdr>
        <w:bottom w:val="single" w:sz="4" w:space="1" w:color="808080"/>
      </w:pBdr>
      <w:jc w:val="center"/>
      <w:rPr>
        <w:rFonts w:ascii="Arial" w:hAnsi="Arial"/>
        <w:color w:val="808080"/>
        <w:sz w:val="24"/>
      </w:rPr>
    </w:pPr>
  </w:p>
  <w:p w14:paraId="142170B9" w14:textId="77777777" w:rsidR="007C7F8B" w:rsidRDefault="007C7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9577" w14:textId="77777777" w:rsidR="007263FA" w:rsidRDefault="00726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F8B"/>
    <w:rsid w:val="00090E6D"/>
    <w:rsid w:val="007263FA"/>
    <w:rsid w:val="007C7F8B"/>
    <w:rsid w:val="008D2DF0"/>
    <w:rsid w:val="00B82FC5"/>
    <w:rsid w:val="00BF2F74"/>
    <w:rsid w:val="00BF626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74E3B"/>
  <w15:docId w15:val="{8397FFE5-93C0-42B9-8880-AC235B50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TALIC0">
    <w:name w:val="ITALIC"/>
    <w:qFormat/>
    <w:rsid w:val="00302AD0"/>
    <w:rPr>
      <w:i/>
      <w:iCs/>
      <w:w w:val="10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4</cp:revision>
  <cp:lastPrinted>2015-08-17T15:42:00Z</cp:lastPrinted>
  <dcterms:created xsi:type="dcterms:W3CDTF">2019-07-22T12:54:00Z</dcterms:created>
  <dcterms:modified xsi:type="dcterms:W3CDTF">2022-06-13T10:08:00Z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-1280089455</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2022-06-13T10:08:32Z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673e74fe-6b56-4624-bfb1-0000221e5e26</vt:lpwstr>
  </property>
  <property fmtid="{D5CDD505-2E9C-101B-9397-08002B2CF9AE}" pid="21" name="MSIP_Label_be5cb09a-2992-49d6-8ac9-5f63e7b1ad2f_ContentBits">
    <vt:lpwstr>0</vt:lpwstr>
  </property>
</Properties>
</file>