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F2DDF" w14:textId="77777777" w:rsidR="00B65ABE" w:rsidRDefault="00487398">
      <w:pPr>
        <w:pStyle w:val="APPA"/>
        <w:suppressAutoHyphens w:val="0"/>
        <w:spacing w:before="0" w:after="0" w:line="480" w:lineRule="auto"/>
        <w:jc w:val="both"/>
        <w:rPr>
          <w:rFonts w:ascii="Arial" w:hAnsi="Arial" w:cs="Arial"/>
          <w:b/>
          <w:color w:val="00000A"/>
          <w:spacing w:val="0"/>
          <w:sz w:val="24"/>
          <w:szCs w:val="20"/>
        </w:rPr>
      </w:pPr>
      <w:r>
        <w:rPr>
          <w:rFonts w:ascii="Arial" w:hAnsi="Arial" w:cs="Arial"/>
          <w:b/>
          <w:color w:val="00000A"/>
          <w:spacing w:val="0"/>
          <w:sz w:val="24"/>
          <w:szCs w:val="20"/>
        </w:rPr>
        <w:t>CHAPTER 20</w:t>
      </w:r>
    </w:p>
    <w:p w14:paraId="24CF9550" w14:textId="77777777" w:rsidR="00B65ABE" w:rsidRDefault="00B65ABE">
      <w:pPr>
        <w:pStyle w:val="APPA"/>
        <w:suppressAutoHyphens w:val="0"/>
        <w:spacing w:before="0" w:after="0" w:line="480" w:lineRule="auto"/>
        <w:jc w:val="both"/>
        <w:rPr>
          <w:rFonts w:ascii="Arial" w:hAnsi="Arial" w:cs="Arial"/>
          <w:b/>
          <w:color w:val="00000A"/>
          <w:spacing w:val="0"/>
          <w:sz w:val="24"/>
          <w:szCs w:val="20"/>
        </w:rPr>
      </w:pPr>
    </w:p>
    <w:p w14:paraId="4A9FD49C" w14:textId="77777777" w:rsidR="00B65ABE" w:rsidRDefault="00487398">
      <w:pPr>
        <w:pStyle w:val="APPTXTfirst"/>
        <w:spacing w:line="480" w:lineRule="auto"/>
        <w:rPr>
          <w:rFonts w:ascii="Arial" w:hAnsi="Arial" w:cs="Arial"/>
          <w:color w:val="00000A"/>
          <w:sz w:val="24"/>
          <w:szCs w:val="20"/>
        </w:rPr>
      </w:pPr>
      <w:r>
        <w:rPr>
          <w:rFonts w:ascii="Arial" w:hAnsi="Arial" w:cs="Arial"/>
          <w:color w:val="00000A"/>
          <w:sz w:val="24"/>
          <w:szCs w:val="20"/>
        </w:rPr>
        <w:t>1.</w:t>
      </w:r>
      <w:r>
        <w:rPr>
          <w:rFonts w:ascii="Arial" w:eastAsia="MS Mincho" w:hAnsi="Arial" w:cs="Arial"/>
          <w:color w:val="00000A"/>
          <w:sz w:val="24"/>
          <w:szCs w:val="20"/>
        </w:rPr>
        <w:t>  </w:t>
      </w:r>
      <w:r>
        <w:rPr>
          <w:rFonts w:ascii="Arial" w:hAnsi="Arial" w:cs="Arial"/>
          <w:color w:val="00000A"/>
          <w:sz w:val="24"/>
          <w:szCs w:val="20"/>
        </w:rPr>
        <w:t>No—only those communications between a solicitor and client that involve the giving or obtaining of legal advice.</w:t>
      </w:r>
    </w:p>
    <w:p w14:paraId="70AC4780" w14:textId="77777777" w:rsidR="00B65ABE" w:rsidRDefault="00B65ABE">
      <w:pPr>
        <w:pStyle w:val="APPTXTfirst"/>
        <w:spacing w:line="480" w:lineRule="auto"/>
        <w:rPr>
          <w:rFonts w:ascii="Arial" w:hAnsi="Arial" w:cs="Arial"/>
          <w:color w:val="00000A"/>
          <w:sz w:val="24"/>
          <w:szCs w:val="20"/>
        </w:rPr>
      </w:pPr>
    </w:p>
    <w:p w14:paraId="1C3FE9BF" w14:textId="77777777" w:rsidR="00B65ABE" w:rsidRDefault="00487398">
      <w:pPr>
        <w:pStyle w:val="APPTXTfirst"/>
        <w:spacing w:line="480" w:lineRule="auto"/>
        <w:rPr>
          <w:rFonts w:ascii="Arial" w:hAnsi="Arial" w:cs="Arial"/>
          <w:color w:val="00000A"/>
          <w:sz w:val="24"/>
          <w:szCs w:val="20"/>
        </w:rPr>
      </w:pPr>
      <w:r>
        <w:rPr>
          <w:rFonts w:ascii="Arial" w:hAnsi="Arial" w:cs="Arial"/>
          <w:color w:val="00000A"/>
          <w:sz w:val="24"/>
          <w:szCs w:val="20"/>
        </w:rPr>
        <w:t>2.</w:t>
      </w:r>
      <w:r>
        <w:rPr>
          <w:rFonts w:ascii="Arial" w:eastAsia="MS Mincho" w:hAnsi="Arial" w:cs="Arial"/>
          <w:color w:val="00000A"/>
          <w:sz w:val="24"/>
          <w:szCs w:val="20"/>
        </w:rPr>
        <w:t>  </w:t>
      </w:r>
      <w:r>
        <w:rPr>
          <w:rFonts w:ascii="Arial" w:hAnsi="Arial" w:cs="Arial"/>
          <w:color w:val="00000A"/>
          <w:sz w:val="24"/>
          <w:szCs w:val="20"/>
        </w:rPr>
        <w:t>The test requires the dominant purpose of the communication to be in connection with pending or actual litigation.</w:t>
      </w:r>
    </w:p>
    <w:p w14:paraId="5AF6FBC2" w14:textId="77777777" w:rsidR="00B65ABE" w:rsidRDefault="00B65ABE">
      <w:pPr>
        <w:pStyle w:val="APPTXTfirst"/>
        <w:spacing w:line="480" w:lineRule="auto"/>
        <w:rPr>
          <w:rFonts w:ascii="Arial" w:hAnsi="Arial" w:cs="Arial"/>
          <w:color w:val="00000A"/>
          <w:sz w:val="24"/>
          <w:szCs w:val="20"/>
        </w:rPr>
      </w:pPr>
    </w:p>
    <w:p w14:paraId="5025243B" w14:textId="77777777" w:rsidR="00B65ABE" w:rsidRDefault="00487398">
      <w:pPr>
        <w:pStyle w:val="APPTXTfirst"/>
        <w:spacing w:line="480" w:lineRule="auto"/>
        <w:rPr>
          <w:rFonts w:ascii="Arial" w:hAnsi="Arial" w:cs="Arial"/>
          <w:color w:val="00000A"/>
          <w:sz w:val="24"/>
          <w:szCs w:val="20"/>
        </w:rPr>
      </w:pPr>
      <w:r>
        <w:rPr>
          <w:rFonts w:ascii="Arial" w:hAnsi="Arial" w:cs="Arial"/>
          <w:color w:val="00000A"/>
          <w:sz w:val="24"/>
          <w:szCs w:val="20"/>
        </w:rPr>
        <w:t>3.</w:t>
      </w:r>
      <w:r>
        <w:rPr>
          <w:rFonts w:ascii="Arial" w:eastAsia="MS Mincho" w:hAnsi="Arial" w:cs="Arial"/>
          <w:color w:val="00000A"/>
          <w:sz w:val="24"/>
          <w:szCs w:val="20"/>
        </w:rPr>
        <w:t>  </w:t>
      </w:r>
      <w:r>
        <w:rPr>
          <w:rFonts w:ascii="Arial" w:hAnsi="Arial" w:cs="Arial"/>
          <w:color w:val="00000A"/>
          <w:sz w:val="24"/>
          <w:szCs w:val="20"/>
        </w:rPr>
        <w:t>Legal privilege vests in the client.</w:t>
      </w:r>
    </w:p>
    <w:p w14:paraId="3BEBD4B5" w14:textId="77777777" w:rsidR="00B65ABE" w:rsidRDefault="00B65ABE">
      <w:pPr>
        <w:pStyle w:val="APPTXTfirst"/>
        <w:spacing w:line="480" w:lineRule="auto"/>
        <w:rPr>
          <w:rFonts w:ascii="Arial" w:hAnsi="Arial" w:cs="Arial"/>
          <w:color w:val="00000A"/>
          <w:sz w:val="24"/>
          <w:szCs w:val="20"/>
        </w:rPr>
      </w:pPr>
    </w:p>
    <w:p w14:paraId="614C0575" w14:textId="77777777" w:rsidR="00B65ABE" w:rsidRDefault="00487398">
      <w:pPr>
        <w:pStyle w:val="APPTXTfirst"/>
        <w:spacing w:line="480" w:lineRule="auto"/>
        <w:rPr>
          <w:rFonts w:ascii="Arial" w:hAnsi="Arial" w:cs="Arial"/>
          <w:color w:val="00000A"/>
          <w:sz w:val="24"/>
          <w:szCs w:val="20"/>
        </w:rPr>
      </w:pPr>
      <w:r>
        <w:rPr>
          <w:rFonts w:ascii="Arial" w:hAnsi="Arial" w:cs="Arial"/>
          <w:color w:val="00000A"/>
          <w:sz w:val="24"/>
          <w:szCs w:val="20"/>
        </w:rPr>
        <w:t>4.</w:t>
      </w:r>
      <w:r>
        <w:rPr>
          <w:rFonts w:ascii="Arial" w:eastAsia="MS Mincho" w:hAnsi="Arial" w:cs="Arial"/>
          <w:color w:val="00000A"/>
          <w:sz w:val="24"/>
          <w:szCs w:val="20"/>
        </w:rPr>
        <w:t>  </w:t>
      </w:r>
      <w:r>
        <w:rPr>
          <w:rFonts w:ascii="Arial" w:hAnsi="Arial" w:cs="Arial"/>
          <w:color w:val="00000A"/>
          <w:sz w:val="24"/>
          <w:szCs w:val="20"/>
        </w:rPr>
        <w:t xml:space="preserve">The privilege against self-incrimination allows a witness to refuse to answer a question which would expose the witness to the possibility of any criminal charge under United Kingdom law. It also extends to a defendant who has been compelled to answer questions as part of an extra-judicial investigation where, at a subsequent criminal prosecution, the prosecution seeks to use the answers given in evidence against the defendant. Evidence obtained in breach of the privilege against self-incrimination may not violate Article 6 and may therefore be admissible (see the decision in </w:t>
      </w:r>
      <w:r>
        <w:rPr>
          <w:rStyle w:val="ITALIC0"/>
          <w:rFonts w:ascii="Arial" w:hAnsi="Arial" w:cs="Arial"/>
          <w:color w:val="00000A"/>
          <w:sz w:val="24"/>
          <w:szCs w:val="20"/>
        </w:rPr>
        <w:t>Brown v Stott</w:t>
      </w:r>
      <w:r>
        <w:rPr>
          <w:rFonts w:ascii="Arial" w:hAnsi="Arial" w:cs="Arial"/>
          <w:color w:val="00000A"/>
          <w:sz w:val="24"/>
          <w:szCs w:val="20"/>
        </w:rPr>
        <w:t xml:space="preserve"> [2001] 2 WLR 817). Until the Supreme Court delivers a definitive judgment on the point, the law remains uncertain whether documents or items which exist independent of the will of the suspect must be disclosed even though they expose the suspect to a later prosecution—or whether the evidence obtained as a consequence of forced disclosure can be used in evidence against an accused.</w:t>
      </w:r>
    </w:p>
    <w:p w14:paraId="3C7A5450" w14:textId="77777777" w:rsidR="00B65ABE" w:rsidRDefault="00B65ABE"/>
    <w:sectPr w:rsidR="00B65AB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51C4F" w14:textId="77777777" w:rsidR="00487398" w:rsidRDefault="00487398">
      <w:pPr>
        <w:spacing w:after="0" w:line="240" w:lineRule="auto"/>
      </w:pPr>
      <w:r>
        <w:separator/>
      </w:r>
    </w:p>
  </w:endnote>
  <w:endnote w:type="continuationSeparator" w:id="0">
    <w:p w14:paraId="4CBFC1CA" w14:textId="77777777" w:rsidR="00487398" w:rsidRDefault="0048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Italic">
    <w:altName w:val="Times New Roman"/>
    <w:charset w:val="01"/>
    <w:family w:val="roman"/>
    <w:pitch w:val="variable"/>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Frutiger-BlackCn">
    <w:altName w:val="Calibri"/>
    <w:panose1 w:val="00000000000000000000"/>
    <w:charset w:val="4D"/>
    <w:family w:val="auto"/>
    <w:notTrueType/>
    <w:pitch w:val="default"/>
    <w:sig w:usb0="00000003" w:usb1="00000000" w:usb2="00000000" w:usb3="00000000" w:csb0="00000001" w:csb1="00000000"/>
  </w:font>
  <w:font w:name="StoneSerif">
    <w:altName w:val="Cambria"/>
    <w:charset w:val="01"/>
    <w:family w:val="roman"/>
    <w:pitch w:val="variable"/>
  </w:font>
  <w:font w:name="Frutiger-BoldCn">
    <w:altName w:val="Cambria"/>
    <w:charset w:val="01"/>
    <w:family w:val="roman"/>
    <w:pitch w:val="variable"/>
  </w:font>
  <w:font w:name="StoneSerif-Semibold">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UP Swift">
    <w:altName w:val="Calibri"/>
    <w:panose1 w:val="0200050308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2881" w14:textId="77777777" w:rsidR="00C71EB9" w:rsidRDefault="00C71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D019" w14:textId="77777777" w:rsidR="00B65ABE" w:rsidRDefault="00487398">
    <w:pPr>
      <w:pStyle w:val="Footer"/>
      <w:pBdr>
        <w:top w:val="single" w:sz="4" w:space="1" w:color="808080"/>
      </w:pBdr>
      <w:jc w:val="right"/>
      <w:rPr>
        <w:rFonts w:ascii="OUP Swift" w:hAnsi="OUP Swift"/>
        <w:color w:val="808080"/>
      </w:rPr>
    </w:pPr>
    <w:r>
      <w:rPr>
        <w:noProof/>
        <w:lang w:eastAsia="en-GB"/>
      </w:rPr>
      <w:drawing>
        <wp:inline distT="0" distB="0" distL="0" distR="0" wp14:anchorId="0257E5E9" wp14:editId="011BCE00">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219200" cy="457200"/>
                  </a:xfrm>
                  <a:prstGeom prst="rect">
                    <a:avLst/>
                  </a:prstGeom>
                  <a:noFill/>
                  <a:ln w="9525">
                    <a:noFill/>
                    <a:miter lim="800000"/>
                    <a:headEnd/>
                    <a:tailEnd/>
                  </a:ln>
                </pic:spPr>
              </pic:pic>
            </a:graphicData>
          </a:graphic>
        </wp:inline>
      </w:drawing>
    </w:r>
  </w:p>
  <w:p w14:paraId="68485175" w14:textId="255841A8" w:rsidR="00B65ABE" w:rsidRDefault="00487398">
    <w:pPr>
      <w:pStyle w:val="Footer"/>
      <w:rPr>
        <w:rFonts w:ascii="Arial" w:hAnsi="Arial"/>
        <w:color w:val="808080"/>
      </w:rPr>
    </w:pPr>
    <w:r>
      <w:rPr>
        <w:rFonts w:ascii="Arial" w:hAnsi="Arial"/>
        <w:color w:val="808080"/>
      </w:rPr>
      <w:t>© Oxford University Press, 20</w:t>
    </w:r>
    <w:r w:rsidR="00D710A1">
      <w:rPr>
        <w:rFonts w:ascii="Arial" w:hAnsi="Arial"/>
        <w:color w:val="808080"/>
      </w:rPr>
      <w:t>2</w:t>
    </w:r>
    <w:r w:rsidR="00C71EB9">
      <w:rPr>
        <w:rFonts w:ascii="Arial" w:hAnsi="Arial"/>
        <w:color w:val="808080"/>
      </w:rPr>
      <w:t>2</w:t>
    </w:r>
    <w:r>
      <w:rPr>
        <w:rFonts w:ascii="Arial" w:hAnsi="Arial"/>
        <w:color w:val="808080"/>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6362" w14:textId="77777777" w:rsidR="00C71EB9" w:rsidRDefault="00C71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14FBD" w14:textId="77777777" w:rsidR="00487398" w:rsidRDefault="00487398">
      <w:pPr>
        <w:spacing w:after="0" w:line="240" w:lineRule="auto"/>
      </w:pPr>
      <w:r>
        <w:separator/>
      </w:r>
    </w:p>
  </w:footnote>
  <w:footnote w:type="continuationSeparator" w:id="0">
    <w:p w14:paraId="195ED58A" w14:textId="77777777" w:rsidR="00487398" w:rsidRDefault="00487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1B85" w14:textId="77777777" w:rsidR="00C71EB9" w:rsidRDefault="00C71E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17D4" w14:textId="3453520C" w:rsidR="00B65ABE" w:rsidRDefault="00487398">
    <w:pPr>
      <w:pStyle w:val="Header"/>
      <w:pBdr>
        <w:bottom w:val="single" w:sz="4" w:space="1" w:color="808080"/>
      </w:pBdr>
      <w:jc w:val="center"/>
    </w:pPr>
    <w:r>
      <w:rPr>
        <w:rFonts w:ascii="Arial" w:hAnsi="Arial"/>
        <w:color w:val="808080"/>
        <w:sz w:val="24"/>
      </w:rPr>
      <w:t xml:space="preserve">Hannibal &amp; Mountford: </w:t>
    </w:r>
    <w:r>
      <w:rPr>
        <w:rFonts w:ascii="Arial" w:hAnsi="Arial"/>
        <w:i/>
        <w:color w:val="808080"/>
        <w:sz w:val="24"/>
      </w:rPr>
      <w:t>Criminal Litigation</w:t>
    </w:r>
    <w:r>
      <w:rPr>
        <w:rFonts w:ascii="Arial" w:hAnsi="Arial"/>
        <w:color w:val="808080"/>
        <w:sz w:val="24"/>
      </w:rPr>
      <w:t xml:space="preserve"> </w:t>
    </w:r>
    <w:r w:rsidR="00C71EB9" w:rsidRPr="00C71EB9">
      <w:rPr>
        <w:rFonts w:ascii="Arial" w:hAnsi="Arial"/>
        <w:iCs/>
        <w:color w:val="808080"/>
        <w:sz w:val="24"/>
      </w:rPr>
      <w:t>18e</w:t>
    </w:r>
  </w:p>
  <w:p w14:paraId="6DFFDCC8" w14:textId="77777777" w:rsidR="00B65ABE" w:rsidRDefault="00487398">
    <w:pPr>
      <w:pStyle w:val="Header"/>
      <w:pBdr>
        <w:bottom w:val="single" w:sz="4" w:space="1" w:color="808080"/>
      </w:pBdr>
      <w:jc w:val="center"/>
      <w:rPr>
        <w:rFonts w:ascii="Arial" w:hAnsi="Arial"/>
        <w:color w:val="808080"/>
        <w:sz w:val="24"/>
      </w:rPr>
    </w:pPr>
    <w:r>
      <w:rPr>
        <w:rFonts w:ascii="Arial" w:hAnsi="Arial"/>
        <w:color w:val="808080"/>
        <w:sz w:val="24"/>
      </w:rPr>
      <w:t>Answers to self-test questions – Chapter 20</w:t>
    </w:r>
  </w:p>
  <w:p w14:paraId="0BC5CA6A" w14:textId="77777777" w:rsidR="00B65ABE" w:rsidRDefault="00B65ABE">
    <w:pPr>
      <w:pStyle w:val="Header"/>
      <w:pBdr>
        <w:bottom w:val="single" w:sz="4" w:space="1" w:color="808080"/>
      </w:pBdr>
      <w:jc w:val="center"/>
      <w:rPr>
        <w:rFonts w:ascii="Arial" w:hAnsi="Arial"/>
        <w:color w:val="808080"/>
        <w:sz w:val="24"/>
      </w:rPr>
    </w:pPr>
  </w:p>
  <w:p w14:paraId="3DF2EB65" w14:textId="77777777" w:rsidR="00B65ABE" w:rsidRDefault="00B65A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EF45" w14:textId="77777777" w:rsidR="00C71EB9" w:rsidRDefault="00C71E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ABE"/>
    <w:rsid w:val="003D2E8F"/>
    <w:rsid w:val="004015B9"/>
    <w:rsid w:val="00487398"/>
    <w:rsid w:val="00B65ABE"/>
    <w:rsid w:val="00C07A2B"/>
    <w:rsid w:val="00C71EB9"/>
    <w:rsid w:val="00D710A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4F1D9"/>
  <w15:docId w15:val="{D43CD44A-B156-443D-9C96-FA0E8B8DA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61FA9"/>
  </w:style>
  <w:style w:type="character" w:customStyle="1" w:styleId="FooterChar">
    <w:name w:val="Footer Char"/>
    <w:basedOn w:val="DefaultParagraphFont"/>
    <w:link w:val="Footer"/>
    <w:uiPriority w:val="99"/>
    <w:qFormat/>
    <w:rsid w:val="00861FA9"/>
  </w:style>
  <w:style w:type="character" w:customStyle="1" w:styleId="BalloonTextChar">
    <w:name w:val="Balloon Text Char"/>
    <w:basedOn w:val="DefaultParagraphFont"/>
    <w:link w:val="BalloonText"/>
    <w:uiPriority w:val="99"/>
    <w:semiHidden/>
    <w:qFormat/>
    <w:rsid w:val="00861FA9"/>
    <w:rPr>
      <w:rFonts w:ascii="Tahoma" w:hAnsi="Tahoma" w:cs="Tahoma"/>
      <w:sz w:val="16"/>
      <w:szCs w:val="16"/>
    </w:rPr>
  </w:style>
  <w:style w:type="character" w:customStyle="1" w:styleId="frutigerboldital">
    <w:name w:val="frutiger.boldital"/>
    <w:qFormat/>
    <w:rsid w:val="00403E89"/>
    <w:rPr>
      <w:rFonts w:ascii="Frutiger-BoldItalic" w:hAnsi="Frutiger-BoldItalic" w:cs="Frutiger-BoldItalic"/>
      <w:b/>
      <w:bCs/>
      <w:i/>
      <w:iCs/>
    </w:rPr>
  </w:style>
  <w:style w:type="character" w:customStyle="1" w:styleId="italic">
    <w:name w:val="italic"/>
    <w:qFormat/>
    <w:rsid w:val="00712106"/>
    <w:rPr>
      <w:i/>
      <w:iCs/>
    </w:rPr>
  </w:style>
  <w:style w:type="character" w:customStyle="1" w:styleId="ITALIC0">
    <w:name w:val="ITALIC"/>
    <w:qFormat/>
    <w:rsid w:val="00302AD0"/>
    <w:rPr>
      <w:i/>
      <w:iCs/>
      <w:w w:val="100"/>
    </w:rPr>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nhideWhenUsed/>
    <w:rsid w:val="00861FA9"/>
    <w:pPr>
      <w:tabs>
        <w:tab w:val="center" w:pos="4513"/>
        <w:tab w:val="right" w:pos="9026"/>
      </w:tabs>
      <w:spacing w:after="0" w:line="240" w:lineRule="auto"/>
    </w:pPr>
  </w:style>
  <w:style w:type="paragraph" w:styleId="Footer">
    <w:name w:val="footer"/>
    <w:basedOn w:val="Normal"/>
    <w:link w:val="FooterChar"/>
    <w:uiPriority w:val="99"/>
    <w:unhideWhenUsed/>
    <w:rsid w:val="00861FA9"/>
    <w:pPr>
      <w:tabs>
        <w:tab w:val="center" w:pos="4513"/>
        <w:tab w:val="right" w:pos="9026"/>
      </w:tabs>
      <w:spacing w:after="0" w:line="240" w:lineRule="auto"/>
    </w:pPr>
  </w:style>
  <w:style w:type="paragraph" w:customStyle="1" w:styleId="APPA">
    <w:name w:val="APP_A"/>
    <w:basedOn w:val="Normal"/>
    <w:qFormat/>
    <w:rsid w:val="00861FA9"/>
    <w:pPr>
      <w:widowControl w:val="0"/>
      <w:spacing w:before="170" w:after="40" w:line="230" w:lineRule="atLeast"/>
      <w:textAlignment w:val="center"/>
    </w:pPr>
    <w:rPr>
      <w:rFonts w:ascii="Frutiger-BlackCn" w:eastAsia="Times New Roman" w:hAnsi="Frutiger-BlackCn" w:cs="Frutiger-BlackCn"/>
      <w:color w:val="000000"/>
      <w:spacing w:val="17"/>
      <w:sz w:val="18"/>
      <w:szCs w:val="18"/>
    </w:rPr>
  </w:style>
  <w:style w:type="paragraph" w:customStyle="1" w:styleId="APPL">
    <w:name w:val="APP_L"/>
    <w:basedOn w:val="Normal"/>
    <w:qFormat/>
    <w:rsid w:val="00861FA9"/>
    <w:pPr>
      <w:widowControl w:val="0"/>
      <w:tabs>
        <w:tab w:val="left" w:pos="168"/>
        <w:tab w:val="left" w:pos="360"/>
        <w:tab w:val="left" w:pos="460"/>
      </w:tabs>
      <w:spacing w:after="70" w:line="230" w:lineRule="atLeast"/>
      <w:jc w:val="both"/>
      <w:textAlignment w:val="center"/>
    </w:pPr>
    <w:rPr>
      <w:rFonts w:ascii="StoneSerif" w:eastAsia="Times New Roman" w:hAnsi="StoneSerif" w:cs="StoneSerif"/>
      <w:color w:val="000000"/>
      <w:sz w:val="16"/>
      <w:szCs w:val="16"/>
    </w:rPr>
  </w:style>
  <w:style w:type="paragraph" w:styleId="BalloonText">
    <w:name w:val="Balloon Text"/>
    <w:basedOn w:val="Normal"/>
    <w:link w:val="BalloonTextChar"/>
    <w:uiPriority w:val="99"/>
    <w:semiHidden/>
    <w:unhideWhenUsed/>
    <w:qFormat/>
    <w:rsid w:val="00861FA9"/>
    <w:pPr>
      <w:spacing w:after="0" w:line="240" w:lineRule="auto"/>
    </w:pPr>
    <w:rPr>
      <w:rFonts w:ascii="Tahoma" w:hAnsi="Tahoma" w:cs="Tahoma"/>
      <w:sz w:val="16"/>
      <w:szCs w:val="16"/>
    </w:rPr>
  </w:style>
  <w:style w:type="paragraph" w:customStyle="1" w:styleId="APPB">
    <w:name w:val="APP_B"/>
    <w:basedOn w:val="Normal"/>
    <w:qFormat/>
    <w:rsid w:val="00403E89"/>
    <w:pPr>
      <w:widowControl w:val="0"/>
      <w:spacing w:before="232" w:after="40" w:line="230" w:lineRule="atLeast"/>
      <w:textAlignment w:val="center"/>
    </w:pPr>
    <w:rPr>
      <w:rFonts w:ascii="Frutiger-BoldCn" w:eastAsia="Times New Roman" w:hAnsi="Frutiger-BoldCn" w:cs="Frutiger-BoldCn"/>
      <w:b/>
      <w:bCs/>
      <w:color w:val="000000"/>
      <w:spacing w:val="15"/>
      <w:sz w:val="16"/>
      <w:szCs w:val="16"/>
    </w:rPr>
  </w:style>
  <w:style w:type="paragraph" w:customStyle="1" w:styleId="APPTXTfirst">
    <w:name w:val="APP_TXT.first"/>
    <w:basedOn w:val="Normal"/>
    <w:qFormat/>
    <w:rsid w:val="00403E89"/>
    <w:pPr>
      <w:widowControl w:val="0"/>
      <w:spacing w:after="0" w:line="230" w:lineRule="atLeast"/>
      <w:jc w:val="both"/>
      <w:textAlignment w:val="center"/>
    </w:pPr>
    <w:rPr>
      <w:rFonts w:ascii="StoneSerif" w:eastAsia="Times New Roman" w:hAnsi="StoneSerif" w:cs="StoneSerif"/>
      <w:color w:val="000000"/>
      <w:sz w:val="16"/>
      <w:szCs w:val="16"/>
    </w:rPr>
  </w:style>
  <w:style w:type="paragraph" w:customStyle="1" w:styleId="APPTXT">
    <w:name w:val="APP_TXT"/>
    <w:basedOn w:val="Normal"/>
    <w:qFormat/>
    <w:rsid w:val="00403E89"/>
    <w:pPr>
      <w:widowControl w:val="0"/>
      <w:spacing w:after="0" w:line="230" w:lineRule="atLeast"/>
      <w:ind w:firstLine="160"/>
      <w:jc w:val="both"/>
      <w:textAlignment w:val="center"/>
    </w:pPr>
    <w:rPr>
      <w:rFonts w:ascii="StoneSerif" w:eastAsia="Times New Roman" w:hAnsi="StoneSerif" w:cs="StoneSerif"/>
      <w:color w:val="000000"/>
      <w:sz w:val="16"/>
      <w:szCs w:val="16"/>
    </w:rPr>
  </w:style>
  <w:style w:type="paragraph" w:customStyle="1" w:styleId="APPC">
    <w:name w:val="APP_C"/>
    <w:basedOn w:val="Normal"/>
    <w:qFormat/>
    <w:rsid w:val="00D6575A"/>
    <w:pPr>
      <w:widowControl w:val="0"/>
      <w:spacing w:before="170" w:after="40" w:line="230" w:lineRule="atLeast"/>
      <w:textAlignment w:val="center"/>
    </w:pPr>
    <w:rPr>
      <w:rFonts w:ascii="StoneSerif-Semibold" w:eastAsia="Times New Roman" w:hAnsi="StoneSerif-Semibold" w:cs="StoneSerif-Semibold"/>
      <w:color w:val="000000"/>
      <w:spacing w:val="15"/>
      <w:sz w:val="16"/>
      <w:szCs w:val="16"/>
    </w:rPr>
  </w:style>
  <w:style w:type="paragraph" w:customStyle="1" w:styleId="EXTONLY">
    <w:name w:val="EXT_ONLY"/>
    <w:basedOn w:val="Normal"/>
    <w:qFormat/>
    <w:rsid w:val="00D6575A"/>
    <w:pPr>
      <w:widowControl w:val="0"/>
      <w:spacing w:before="120" w:after="120" w:line="210" w:lineRule="atLeast"/>
      <w:ind w:left="160" w:right="160"/>
      <w:jc w:val="both"/>
      <w:textAlignment w:val="center"/>
    </w:pPr>
    <w:rPr>
      <w:rFonts w:ascii="StoneSerif" w:eastAsia="Times New Roman" w:hAnsi="StoneSerif" w:cs="StoneSerif"/>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Helen</dc:creator>
  <cp:lastModifiedBy>MERRICK, Hayden</cp:lastModifiedBy>
  <cp:revision>4</cp:revision>
  <cp:lastPrinted>2015-08-17T15:52:00Z</cp:lastPrinted>
  <dcterms:created xsi:type="dcterms:W3CDTF">2019-07-22T12:57:00Z</dcterms:created>
  <dcterms:modified xsi:type="dcterms:W3CDTF">2022-06-13T10:27:00Z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Oxford University Press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-806807488</vt:i4>
  </property>
  <property fmtid="{D5CDD505-2E9C-101B-9397-08002B2CF9AE}" pid="10" name="_NewReviewCycle">
    <vt:lpwstr/>
  </property>
  <property fmtid="{D5CDD505-2E9C-101B-9397-08002B2CF9AE}" pid="11" name="_EmailSubject">
    <vt:lpwstr>Hannibal and Mountford ORC</vt:lpwstr>
  </property>
  <property fmtid="{D5CDD505-2E9C-101B-9397-08002B2CF9AE}" pid="12" name="_AuthorEmail">
    <vt:lpwstr>Liana.Green@oup.com</vt:lpwstr>
  </property>
  <property fmtid="{D5CDD505-2E9C-101B-9397-08002B2CF9AE}" pid="13" name="_AuthorEmailDisplayName">
    <vt:lpwstr>GREEN, Liana</vt:lpwstr>
  </property>
  <property fmtid="{D5CDD505-2E9C-101B-9397-08002B2CF9AE}" pid="14" name="_ReviewingToolsShownOnce">
    <vt:lpwstr/>
  </property>
  <property fmtid="{D5CDD505-2E9C-101B-9397-08002B2CF9AE}" pid="15" name="MSIP_Label_be5cb09a-2992-49d6-8ac9-5f63e7b1ad2f_Enabled">
    <vt:lpwstr>true</vt:lpwstr>
  </property>
  <property fmtid="{D5CDD505-2E9C-101B-9397-08002B2CF9AE}" pid="16" name="MSIP_Label_be5cb09a-2992-49d6-8ac9-5f63e7b1ad2f_SetDate">
    <vt:lpwstr>2022-06-13T10:27:52Z</vt:lpwstr>
  </property>
  <property fmtid="{D5CDD505-2E9C-101B-9397-08002B2CF9AE}" pid="17" name="MSIP_Label_be5cb09a-2992-49d6-8ac9-5f63e7b1ad2f_Method">
    <vt:lpwstr>Standard</vt:lpwstr>
  </property>
  <property fmtid="{D5CDD505-2E9C-101B-9397-08002B2CF9AE}" pid="18" name="MSIP_Label_be5cb09a-2992-49d6-8ac9-5f63e7b1ad2f_Name">
    <vt:lpwstr>Controlled</vt:lpwstr>
  </property>
  <property fmtid="{D5CDD505-2E9C-101B-9397-08002B2CF9AE}" pid="19" name="MSIP_Label_be5cb09a-2992-49d6-8ac9-5f63e7b1ad2f_SiteId">
    <vt:lpwstr>91761b62-4c45-43f5-9f0e-be8ad9b551ff</vt:lpwstr>
  </property>
  <property fmtid="{D5CDD505-2E9C-101B-9397-08002B2CF9AE}" pid="20" name="MSIP_Label_be5cb09a-2992-49d6-8ac9-5f63e7b1ad2f_ActionId">
    <vt:lpwstr>ae99febc-458b-4022-beef-000021801958</vt:lpwstr>
  </property>
  <property fmtid="{D5CDD505-2E9C-101B-9397-08002B2CF9AE}" pid="21" name="MSIP_Label_be5cb09a-2992-49d6-8ac9-5f63e7b1ad2f_ContentBits">
    <vt:lpwstr>0</vt:lpwstr>
  </property>
</Properties>
</file>