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6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juveniles engage in delinquency according to strain theory.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types of strain associated with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effects of strain on juveniles, especially their emotional states.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and provide examples of the coping strategies employed by young people to deal with both strain and the negative emotions produced by strain.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 xml:space="preserve">Explain why only </w:t>
      </w:r>
      <w:r w:rsidRPr="00E97C5D">
        <w:rPr>
          <w:rFonts w:ascii="Times New Roman" w:hAnsi="Times New Roman" w:cs="Times New Roman"/>
          <w:i/>
        </w:rPr>
        <w:t>some</w:t>
      </w:r>
      <w:r w:rsidRPr="00E97C5D">
        <w:rPr>
          <w:rFonts w:ascii="Times New Roman" w:hAnsi="Times New Roman" w:cs="Times New Roman"/>
        </w:rPr>
        <w:t xml:space="preserve"> strained youth resort to delinquency.</w:t>
      </w:r>
    </w:p>
    <w:sectPr w:rsidR="007655F6" w:rsidRPr="00E97C5D" w:rsidSect="00AC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9E" w:rsidRDefault="00F50A9E" w:rsidP="007655F6">
      <w:pPr>
        <w:spacing w:after="0"/>
      </w:pPr>
      <w:r>
        <w:separator/>
      </w:r>
    </w:p>
  </w:endnote>
  <w:endnote w:type="continuationSeparator" w:id="1">
    <w:p w:rsidR="00F50A9E" w:rsidRDefault="00F50A9E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9E" w:rsidRDefault="00F50A9E" w:rsidP="007655F6">
      <w:pPr>
        <w:spacing w:after="0"/>
      </w:pPr>
      <w:r>
        <w:separator/>
      </w:r>
    </w:p>
  </w:footnote>
  <w:footnote w:type="continuationSeparator" w:id="1">
    <w:p w:rsidR="00F50A9E" w:rsidRDefault="00F50A9E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7655F6"/>
    <w:rsid w:val="00867402"/>
    <w:rsid w:val="00AC2EAE"/>
    <w:rsid w:val="00C75508"/>
    <w:rsid w:val="00D45838"/>
    <w:rsid w:val="00F5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