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03A4" w14:textId="77777777" w:rsidR="00EC3C68" w:rsidRDefault="00EC3C68" w:rsidP="00EC3C68">
      <w:pPr>
        <w:rPr>
          <w:u w:val="single"/>
        </w:rPr>
      </w:pPr>
      <w:r>
        <w:rPr>
          <w:u w:val="single"/>
        </w:rPr>
        <w:t>Chapter 3</w:t>
      </w:r>
    </w:p>
    <w:p w14:paraId="16B76DA4" w14:textId="77777777" w:rsidR="00EC3C68" w:rsidRPr="007F4C95" w:rsidRDefault="00EC3C68" w:rsidP="00EC3C68">
      <w:pPr>
        <w:spacing w:line="480" w:lineRule="auto"/>
        <w:rPr>
          <w:rFonts w:ascii="Times New Roman" w:hAnsi="Times New Roman" w:cs="Times New Roman"/>
          <w:b/>
          <w:bCs/>
          <w:sz w:val="24"/>
          <w:szCs w:val="24"/>
          <w:u w:val="single"/>
          <w:lang w:val="en-US"/>
        </w:rPr>
      </w:pPr>
      <w:r w:rsidRPr="007F4C95">
        <w:rPr>
          <w:rFonts w:ascii="Times New Roman" w:hAnsi="Times New Roman" w:cs="Times New Roman"/>
          <w:b/>
          <w:bCs/>
          <w:sz w:val="24"/>
          <w:szCs w:val="24"/>
          <w:u w:val="single"/>
          <w:lang w:val="en-US"/>
        </w:rPr>
        <w:t>Answers</w:t>
      </w:r>
    </w:p>
    <w:p w14:paraId="17E5C520" w14:textId="32515695" w:rsidR="00EC3C68" w:rsidRPr="007F4C95" w:rsidRDefault="00EC3C68" w:rsidP="00EC3C68">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3.1 </w:t>
      </w:r>
      <w:r w:rsidRPr="007F4C95">
        <w:rPr>
          <w:rFonts w:ascii="Times New Roman" w:hAnsi="Times New Roman" w:cs="Times New Roman"/>
          <w:sz w:val="24"/>
          <w:szCs w:val="24"/>
          <w:lang w:val="en-US"/>
        </w:rPr>
        <w:t>(a) The chiral receptor contains a disubstituted chiral pyrrolidine ortho-substituted relative to the boronic acid group. The cyclic pyrrolidine structure provides the necessary rigidity to limit the conformational freedom of the chiral unit. This sets up a chiral binding site which binds to the enantiomers with different affinities, as the steric environment of the binding site inherently prefers binding of one enantiomer over the other (i.e. one guest enantiomer encounters a greater steric repulsion than the other when coordinated to the boronic acid). Hence, the enantiomers are bound with different binding energies, giving rise to enantioselectivity.</w:t>
      </w:r>
    </w:p>
    <w:p w14:paraId="64C82C0C" w14:textId="77777777" w:rsidR="00EC3C68" w:rsidRPr="007F4C95" w:rsidRDefault="00EC3C68" w:rsidP="00EC3C68">
      <w:pPr>
        <w:spacing w:line="480" w:lineRule="auto"/>
        <w:jc w:val="both"/>
        <w:rPr>
          <w:rFonts w:ascii="Times New Roman" w:hAnsi="Times New Roman" w:cs="Times New Roman"/>
          <w:sz w:val="24"/>
          <w:szCs w:val="24"/>
          <w:lang w:val="en-US"/>
        </w:rPr>
      </w:pPr>
      <w:r w:rsidRPr="007F4C95">
        <w:rPr>
          <w:rFonts w:ascii="Times New Roman" w:hAnsi="Times New Roman" w:cs="Times New Roman"/>
          <w:sz w:val="24"/>
          <w:szCs w:val="24"/>
          <w:lang w:val="en-US"/>
        </w:rPr>
        <w:t>(b) The bulkier CH</w:t>
      </w:r>
      <w:r w:rsidRPr="007F4C95">
        <w:rPr>
          <w:rFonts w:ascii="Times New Roman" w:hAnsi="Times New Roman" w:cs="Times New Roman"/>
          <w:sz w:val="24"/>
          <w:szCs w:val="24"/>
          <w:vertAlign w:val="subscript"/>
          <w:lang w:val="en-US"/>
        </w:rPr>
        <w:t>2</w:t>
      </w:r>
      <w:r w:rsidRPr="007F4C95">
        <w:rPr>
          <w:rFonts w:ascii="Times New Roman" w:hAnsi="Times New Roman" w:cs="Times New Roman"/>
          <w:sz w:val="24"/>
          <w:szCs w:val="24"/>
          <w:lang w:val="en-US"/>
        </w:rPr>
        <w:t>OCH</w:t>
      </w:r>
      <w:r w:rsidRPr="007F4C95">
        <w:rPr>
          <w:rFonts w:ascii="Times New Roman" w:hAnsi="Times New Roman" w:cs="Times New Roman"/>
          <w:sz w:val="24"/>
          <w:szCs w:val="24"/>
          <w:vertAlign w:val="subscript"/>
          <w:lang w:val="en-US"/>
        </w:rPr>
        <w:t>3</w:t>
      </w:r>
      <w:r w:rsidRPr="007F4C95">
        <w:rPr>
          <w:rFonts w:ascii="Times New Roman" w:hAnsi="Times New Roman" w:cs="Times New Roman"/>
          <w:sz w:val="24"/>
          <w:szCs w:val="24"/>
          <w:lang w:val="en-US"/>
        </w:rPr>
        <w:t xml:space="preserve"> group is expected to sterically hinder the access of the D-enantiomer for binding to the boronic acid moiety to a greater extent than the sterically less bulky CH</w:t>
      </w:r>
      <w:r w:rsidRPr="007F4C95">
        <w:rPr>
          <w:rFonts w:ascii="Times New Roman" w:hAnsi="Times New Roman" w:cs="Times New Roman"/>
          <w:sz w:val="24"/>
          <w:szCs w:val="24"/>
          <w:vertAlign w:val="subscript"/>
          <w:lang w:val="en-US"/>
        </w:rPr>
        <w:t>3</w:t>
      </w:r>
      <w:r w:rsidRPr="007F4C95">
        <w:rPr>
          <w:rFonts w:ascii="Times New Roman" w:hAnsi="Times New Roman" w:cs="Times New Roman"/>
          <w:sz w:val="24"/>
          <w:szCs w:val="24"/>
          <w:lang w:val="en-US"/>
        </w:rPr>
        <w:t xml:space="preserve"> unit. This results in a greater energetic difference during the binding of the enantiomers and hence gives larger selectivity.</w:t>
      </w:r>
    </w:p>
    <w:p w14:paraId="6E4EB6E0" w14:textId="77777777" w:rsidR="00EC3C68" w:rsidRPr="007F4C95" w:rsidRDefault="00EC3C68" w:rsidP="00EC3C68">
      <w:pPr>
        <w:spacing w:line="480" w:lineRule="auto"/>
        <w:jc w:val="both"/>
        <w:rPr>
          <w:rFonts w:ascii="Times New Roman" w:hAnsi="Times New Roman" w:cs="Times New Roman"/>
          <w:sz w:val="24"/>
          <w:szCs w:val="24"/>
        </w:rPr>
      </w:pPr>
      <w:r w:rsidRPr="007F4C95">
        <w:rPr>
          <w:rFonts w:ascii="Times New Roman" w:hAnsi="Times New Roman" w:cs="Times New Roman"/>
          <w:sz w:val="24"/>
          <w:szCs w:val="24"/>
          <w:lang w:val="en-US"/>
        </w:rPr>
        <w:t xml:space="preserve">(c) Phenylpyruvic acid can undergo keto-enol tautomerization, which is stabilized by conjugation to the adjacent phenyl ring. This forms a host structure akin to the </w:t>
      </w:r>
      <w:r w:rsidRPr="007F4C95">
        <w:rPr>
          <w:rFonts w:ascii="Times New Roman" w:hAnsi="Times New Roman" w:cs="Times New Roman"/>
          <w:sz w:val="24"/>
          <w:szCs w:val="24"/>
        </w:rPr>
        <w:t>α</w:t>
      </w:r>
      <w:r w:rsidRPr="007F4C95">
        <w:rPr>
          <w:rFonts w:ascii="Times New Roman" w:hAnsi="Times New Roman" w:cs="Times New Roman"/>
          <w:b/>
          <w:bCs/>
          <w:sz w:val="24"/>
          <w:szCs w:val="24"/>
        </w:rPr>
        <w:t>-</w:t>
      </w:r>
      <w:r w:rsidRPr="007F4C95">
        <w:rPr>
          <w:rFonts w:ascii="Times New Roman" w:hAnsi="Times New Roman" w:cs="Times New Roman"/>
          <w:sz w:val="24"/>
          <w:szCs w:val="24"/>
        </w:rPr>
        <w:t>hydroxycarboxylates which are able to bind strongly to the boronic acid receptor. However, benzoyl formic acid is unable to tautomerize, and since the ketone oxygen atom is too poor a nucleophile, it is unable to coordinate to the boronic acid group. The inability to form a strongly-coordinating 5-membered boronic ester unit energetically disfavours the binding of benzoyl formic acid.</w:t>
      </w:r>
    </w:p>
    <w:p w14:paraId="5CCAAC81" w14:textId="77777777" w:rsidR="00EC3C68" w:rsidRPr="007F4C95" w:rsidRDefault="00EC3C68" w:rsidP="00EC3C68">
      <w:pPr>
        <w:spacing w:line="480" w:lineRule="auto"/>
        <w:rPr>
          <w:rFonts w:ascii="Times New Roman" w:hAnsi="Times New Roman" w:cs="Times New Roman"/>
          <w:sz w:val="24"/>
          <w:szCs w:val="24"/>
          <w:lang w:val="en-US"/>
        </w:rPr>
      </w:pPr>
      <w:r w:rsidRPr="007F4C95">
        <w:rPr>
          <w:rFonts w:ascii="Times New Roman" w:hAnsi="Times New Roman" w:cs="Times New Roman"/>
          <w:noProof/>
          <w:sz w:val="24"/>
          <w:szCs w:val="24"/>
          <w:lang w:eastAsia="en-GB"/>
        </w:rPr>
        <w:lastRenderedPageBreak/>
        <w:drawing>
          <wp:inline distT="0" distB="0" distL="0" distR="0" wp14:anchorId="623BED75" wp14:editId="301184A3">
            <wp:extent cx="5731510" cy="1921510"/>
            <wp:effectExtent l="0" t="0" r="2540" b="254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921510"/>
                    </a:xfrm>
                    <a:prstGeom prst="rect">
                      <a:avLst/>
                    </a:prstGeom>
                  </pic:spPr>
                </pic:pic>
              </a:graphicData>
            </a:graphic>
          </wp:inline>
        </w:drawing>
      </w:r>
    </w:p>
    <w:p w14:paraId="6648B7E3" w14:textId="77777777" w:rsidR="00EC3C68" w:rsidRPr="007F4C95" w:rsidRDefault="00EC3C68" w:rsidP="00EC3C68">
      <w:pPr>
        <w:spacing w:line="480" w:lineRule="auto"/>
        <w:rPr>
          <w:rFonts w:ascii="Times New Roman" w:hAnsi="Times New Roman" w:cs="Times New Roman"/>
          <w:b/>
          <w:bCs/>
          <w:sz w:val="24"/>
          <w:szCs w:val="24"/>
          <w:lang w:val="en-US"/>
        </w:rPr>
      </w:pPr>
    </w:p>
    <w:p w14:paraId="0EC3764E" w14:textId="77777777" w:rsidR="00EC3C68" w:rsidRPr="007F4C95" w:rsidRDefault="00EC3C68" w:rsidP="00EC3C68">
      <w:pPr>
        <w:spacing w:line="480" w:lineRule="auto"/>
        <w:rPr>
          <w:rFonts w:ascii="Times New Roman" w:hAnsi="Times New Roman" w:cs="Times New Roman"/>
          <w:b/>
          <w:bCs/>
          <w:sz w:val="24"/>
          <w:szCs w:val="24"/>
          <w:lang w:val="en-US"/>
        </w:rPr>
      </w:pPr>
    </w:p>
    <w:p w14:paraId="7B9E44F5" w14:textId="49A13DE4" w:rsidR="00EC3C68" w:rsidRPr="007F4C95" w:rsidRDefault="00EC3C68" w:rsidP="00EC3C68">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3.2</w:t>
      </w:r>
      <w:r w:rsidRPr="007F4C95">
        <w:rPr>
          <w:rFonts w:ascii="Times New Roman" w:hAnsi="Times New Roman" w:cs="Times New Roman"/>
          <w:sz w:val="24"/>
          <w:szCs w:val="24"/>
          <w:lang w:val="en-US"/>
        </w:rPr>
        <w:t xml:space="preserve"> (a)</w:t>
      </w:r>
    </w:p>
    <w:p w14:paraId="01C854CF" w14:textId="77777777" w:rsidR="00EC3C68" w:rsidRPr="007F4C95" w:rsidRDefault="00EC3C68" w:rsidP="00EC3C68">
      <w:pPr>
        <w:pStyle w:val="ListParagraph"/>
        <w:spacing w:line="480" w:lineRule="auto"/>
        <w:ind w:left="0"/>
        <w:jc w:val="center"/>
        <w:rPr>
          <w:rFonts w:ascii="Times New Roman" w:hAnsi="Times New Roman" w:cs="Times New Roman"/>
          <w:sz w:val="24"/>
          <w:szCs w:val="24"/>
          <w:lang w:val="en-US"/>
        </w:rPr>
      </w:pPr>
      <w:r w:rsidRPr="007F4C95">
        <w:rPr>
          <w:rFonts w:ascii="Times New Roman" w:hAnsi="Times New Roman" w:cs="Times New Roman"/>
          <w:noProof/>
          <w:sz w:val="24"/>
          <w:szCs w:val="24"/>
          <w:lang w:val="en-GB" w:eastAsia="en-GB"/>
        </w:rPr>
        <w:drawing>
          <wp:inline distT="0" distB="0" distL="0" distR="0" wp14:anchorId="2B1A209B" wp14:editId="2461A769">
            <wp:extent cx="4119252" cy="422148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3449" cy="4225781"/>
                    </a:xfrm>
                    <a:prstGeom prst="rect">
                      <a:avLst/>
                    </a:prstGeom>
                  </pic:spPr>
                </pic:pic>
              </a:graphicData>
            </a:graphic>
          </wp:inline>
        </w:drawing>
      </w:r>
    </w:p>
    <w:p w14:paraId="7D6A2897" w14:textId="77777777" w:rsidR="00EC3C68" w:rsidRPr="007F4C95" w:rsidRDefault="00EC3C68" w:rsidP="00EC3C68">
      <w:pPr>
        <w:pStyle w:val="ListParagraph"/>
        <w:numPr>
          <w:ilvl w:val="0"/>
          <w:numId w:val="2"/>
        </w:numPr>
        <w:spacing w:line="480" w:lineRule="auto"/>
        <w:jc w:val="both"/>
        <w:rPr>
          <w:rFonts w:ascii="Times New Roman" w:hAnsi="Times New Roman" w:cs="Times New Roman"/>
          <w:sz w:val="24"/>
          <w:szCs w:val="24"/>
          <w:lang w:val="en-US"/>
        </w:rPr>
      </w:pPr>
      <w:r w:rsidRPr="007F4C95">
        <w:rPr>
          <w:rFonts w:ascii="Times New Roman" w:hAnsi="Times New Roman" w:cs="Times New Roman"/>
          <w:sz w:val="24"/>
          <w:szCs w:val="24"/>
          <w:lang w:val="en-US"/>
        </w:rPr>
        <w:lastRenderedPageBreak/>
        <w:t xml:space="preserve">Generally, the greater the number of hydrogen bonds possible between the two molecules, the stronger the dimerization. Comparing compounds </w:t>
      </w:r>
      <w:r w:rsidRPr="007F4C95">
        <w:rPr>
          <w:rFonts w:ascii="Times New Roman" w:hAnsi="Times New Roman" w:cs="Times New Roman"/>
          <w:b/>
          <w:bCs/>
          <w:sz w:val="24"/>
          <w:szCs w:val="24"/>
          <w:lang w:val="en-US"/>
        </w:rPr>
        <w:t>A</w:t>
      </w:r>
      <w:r w:rsidRPr="007F4C95">
        <w:rPr>
          <w:rFonts w:ascii="Times New Roman" w:hAnsi="Times New Roman" w:cs="Times New Roman"/>
          <w:sz w:val="24"/>
          <w:szCs w:val="24"/>
          <w:lang w:val="en-US"/>
        </w:rPr>
        <w:t xml:space="preserve"> and </w:t>
      </w:r>
      <w:r w:rsidRPr="007F4C95">
        <w:rPr>
          <w:rFonts w:ascii="Times New Roman" w:hAnsi="Times New Roman" w:cs="Times New Roman"/>
          <w:b/>
          <w:bCs/>
          <w:sz w:val="24"/>
          <w:szCs w:val="24"/>
          <w:lang w:val="en-US"/>
        </w:rPr>
        <w:t>C</w:t>
      </w:r>
      <w:r w:rsidRPr="007F4C95">
        <w:rPr>
          <w:rFonts w:ascii="Times New Roman" w:hAnsi="Times New Roman" w:cs="Times New Roman"/>
          <w:sz w:val="24"/>
          <w:szCs w:val="24"/>
          <w:lang w:val="en-US"/>
        </w:rPr>
        <w:t>, the former possesses an ortho-substituted O</w:t>
      </w:r>
      <w:r w:rsidRPr="007F4C95">
        <w:rPr>
          <w:rFonts w:ascii="Times New Roman" w:hAnsi="Times New Roman" w:cs="Times New Roman"/>
          <w:sz w:val="24"/>
          <w:szCs w:val="24"/>
          <w:vertAlign w:val="superscript"/>
          <w:lang w:val="en-US"/>
        </w:rPr>
        <w:t>i</w:t>
      </w:r>
      <w:r w:rsidRPr="007F4C95">
        <w:rPr>
          <w:rFonts w:ascii="Times New Roman" w:hAnsi="Times New Roman" w:cs="Times New Roman"/>
          <w:sz w:val="24"/>
          <w:szCs w:val="24"/>
          <w:lang w:val="en-US"/>
        </w:rPr>
        <w:t xml:space="preserve">Bu group which is able to form a stable 6-membered hydrogen bond with the adjacent amidourea N-H, which further preorganises the structure and reduces free bond rotations. For compound </w:t>
      </w:r>
      <w:r w:rsidRPr="007F4C95">
        <w:rPr>
          <w:rFonts w:ascii="Times New Roman" w:hAnsi="Times New Roman" w:cs="Times New Roman"/>
          <w:b/>
          <w:bCs/>
          <w:sz w:val="24"/>
          <w:szCs w:val="24"/>
          <w:lang w:val="en-US"/>
        </w:rPr>
        <w:t>C</w:t>
      </w:r>
      <w:r w:rsidRPr="007F4C95">
        <w:rPr>
          <w:rFonts w:ascii="Times New Roman" w:hAnsi="Times New Roman" w:cs="Times New Roman"/>
          <w:sz w:val="24"/>
          <w:szCs w:val="24"/>
          <w:lang w:val="en-US"/>
        </w:rPr>
        <w:t>, this is not possible due to the lack of the O</w:t>
      </w:r>
      <w:r w:rsidRPr="007F4C95">
        <w:rPr>
          <w:rFonts w:ascii="Times New Roman" w:hAnsi="Times New Roman" w:cs="Times New Roman"/>
          <w:sz w:val="24"/>
          <w:szCs w:val="24"/>
          <w:vertAlign w:val="superscript"/>
          <w:lang w:val="en-US"/>
        </w:rPr>
        <w:t>i</w:t>
      </w:r>
      <w:r w:rsidRPr="007F4C95">
        <w:rPr>
          <w:rFonts w:ascii="Times New Roman" w:hAnsi="Times New Roman" w:cs="Times New Roman"/>
          <w:sz w:val="24"/>
          <w:szCs w:val="24"/>
          <w:lang w:val="en-US"/>
        </w:rPr>
        <w:t xml:space="preserve">Bu unit. The greater preorganization of </w:t>
      </w:r>
      <w:r w:rsidRPr="007F4C95">
        <w:rPr>
          <w:rFonts w:ascii="Times New Roman" w:hAnsi="Times New Roman" w:cs="Times New Roman"/>
          <w:b/>
          <w:bCs/>
          <w:sz w:val="24"/>
          <w:szCs w:val="24"/>
          <w:lang w:val="en-US"/>
        </w:rPr>
        <w:t>A</w:t>
      </w:r>
      <w:r w:rsidRPr="007F4C95">
        <w:rPr>
          <w:rFonts w:ascii="Times New Roman" w:hAnsi="Times New Roman" w:cs="Times New Roman"/>
          <w:sz w:val="24"/>
          <w:szCs w:val="24"/>
          <w:lang w:val="en-US"/>
        </w:rPr>
        <w:t xml:space="preserve"> likely leads to stronger dimerization than </w:t>
      </w:r>
      <w:r w:rsidRPr="007F4C95">
        <w:rPr>
          <w:rFonts w:ascii="Times New Roman" w:hAnsi="Times New Roman" w:cs="Times New Roman"/>
          <w:b/>
          <w:bCs/>
          <w:sz w:val="24"/>
          <w:szCs w:val="24"/>
          <w:lang w:val="en-US"/>
        </w:rPr>
        <w:t>C</w:t>
      </w:r>
      <w:r w:rsidRPr="007F4C95">
        <w:rPr>
          <w:rFonts w:ascii="Times New Roman" w:hAnsi="Times New Roman" w:cs="Times New Roman"/>
          <w:sz w:val="24"/>
          <w:szCs w:val="24"/>
          <w:lang w:val="en-US"/>
        </w:rPr>
        <w:t xml:space="preserve">. Between compounds </w:t>
      </w:r>
      <w:r w:rsidRPr="007F4C95">
        <w:rPr>
          <w:rFonts w:ascii="Times New Roman" w:hAnsi="Times New Roman" w:cs="Times New Roman"/>
          <w:b/>
          <w:bCs/>
          <w:sz w:val="24"/>
          <w:szCs w:val="24"/>
          <w:lang w:val="en-US"/>
        </w:rPr>
        <w:t>D</w:t>
      </w:r>
      <w:r w:rsidRPr="007F4C95">
        <w:rPr>
          <w:rFonts w:ascii="Times New Roman" w:hAnsi="Times New Roman" w:cs="Times New Roman"/>
          <w:sz w:val="24"/>
          <w:szCs w:val="24"/>
          <w:lang w:val="en-US"/>
        </w:rPr>
        <w:t xml:space="preserve"> and </w:t>
      </w:r>
      <w:r w:rsidRPr="007F4C95">
        <w:rPr>
          <w:rFonts w:ascii="Times New Roman" w:hAnsi="Times New Roman" w:cs="Times New Roman"/>
          <w:b/>
          <w:bCs/>
          <w:sz w:val="24"/>
          <w:szCs w:val="24"/>
          <w:lang w:val="en-US"/>
        </w:rPr>
        <w:t>E</w:t>
      </w:r>
      <w:r w:rsidRPr="007F4C95">
        <w:rPr>
          <w:rFonts w:ascii="Times New Roman" w:hAnsi="Times New Roman" w:cs="Times New Roman"/>
          <w:sz w:val="24"/>
          <w:szCs w:val="24"/>
          <w:lang w:val="en-US"/>
        </w:rPr>
        <w:t xml:space="preserve">, the latter is likely to bind more weakly to each other due to diagonal donor-donor/ acceptor-acceptor repulsions, which is not present in the urea motif of </w:t>
      </w:r>
      <w:r w:rsidRPr="007F4C95">
        <w:rPr>
          <w:rFonts w:ascii="Times New Roman" w:hAnsi="Times New Roman" w:cs="Times New Roman"/>
          <w:b/>
          <w:bCs/>
          <w:sz w:val="24"/>
          <w:szCs w:val="24"/>
          <w:lang w:val="en-US"/>
        </w:rPr>
        <w:t>D</w:t>
      </w:r>
      <w:r w:rsidRPr="007F4C95">
        <w:rPr>
          <w:rFonts w:ascii="Times New Roman" w:hAnsi="Times New Roman" w:cs="Times New Roman"/>
          <w:sz w:val="24"/>
          <w:szCs w:val="24"/>
          <w:lang w:val="en-US"/>
        </w:rPr>
        <w:t xml:space="preserve">. Hence, the compounds arranged in increasing strength of dimerization are: </w:t>
      </w:r>
      <w:r w:rsidRPr="007F4C95">
        <w:rPr>
          <w:rFonts w:ascii="Times New Roman" w:hAnsi="Times New Roman" w:cs="Times New Roman"/>
          <w:b/>
          <w:bCs/>
          <w:sz w:val="24"/>
          <w:szCs w:val="24"/>
          <w:lang w:val="en-US"/>
        </w:rPr>
        <w:t>B &lt; E &lt; D &lt; F &lt; C &lt; A</w:t>
      </w:r>
    </w:p>
    <w:p w14:paraId="6CA42D2E" w14:textId="77777777" w:rsidR="00EC3C68" w:rsidRPr="007F4C95" w:rsidRDefault="00EC3C68" w:rsidP="00EC3C68">
      <w:pPr>
        <w:pStyle w:val="ListParagraph"/>
        <w:numPr>
          <w:ilvl w:val="0"/>
          <w:numId w:val="2"/>
        </w:numPr>
        <w:spacing w:line="480" w:lineRule="auto"/>
        <w:jc w:val="both"/>
        <w:rPr>
          <w:rFonts w:ascii="Times New Roman" w:hAnsi="Times New Roman" w:cs="Times New Roman"/>
          <w:sz w:val="24"/>
          <w:szCs w:val="24"/>
          <w:lang w:val="en-US"/>
        </w:rPr>
      </w:pPr>
      <w:r w:rsidRPr="007F4C95">
        <w:rPr>
          <w:rFonts w:ascii="Times New Roman" w:hAnsi="Times New Roman" w:cs="Times New Roman"/>
          <w:sz w:val="24"/>
          <w:szCs w:val="24"/>
          <w:lang w:val="en-US"/>
        </w:rPr>
        <w:t>H</w:t>
      </w:r>
      <w:r w:rsidRPr="007F4C95">
        <w:rPr>
          <w:rFonts w:ascii="Times New Roman" w:hAnsi="Times New Roman" w:cs="Times New Roman"/>
          <w:sz w:val="24"/>
          <w:szCs w:val="24"/>
          <w:vertAlign w:val="subscript"/>
          <w:lang w:val="en-US"/>
        </w:rPr>
        <w:t>a</w:t>
      </w:r>
      <w:r w:rsidRPr="007F4C95">
        <w:rPr>
          <w:rFonts w:ascii="Times New Roman" w:hAnsi="Times New Roman" w:cs="Times New Roman"/>
          <w:sz w:val="24"/>
          <w:szCs w:val="24"/>
          <w:lang w:val="en-US"/>
        </w:rPr>
        <w:t xml:space="preserve"> – 10.4 ppm; H</w:t>
      </w:r>
      <w:r w:rsidRPr="007F4C95">
        <w:rPr>
          <w:rFonts w:ascii="Times New Roman" w:hAnsi="Times New Roman" w:cs="Times New Roman"/>
          <w:sz w:val="24"/>
          <w:szCs w:val="24"/>
          <w:vertAlign w:val="subscript"/>
          <w:lang w:val="en-US"/>
        </w:rPr>
        <w:t>b</w:t>
      </w:r>
      <w:r w:rsidRPr="007F4C95">
        <w:rPr>
          <w:rFonts w:ascii="Times New Roman" w:hAnsi="Times New Roman" w:cs="Times New Roman"/>
          <w:sz w:val="24"/>
          <w:szCs w:val="24"/>
          <w:lang w:val="en-US"/>
        </w:rPr>
        <w:t xml:space="preserve"> – 8.3 ppm; H</w:t>
      </w:r>
      <w:r w:rsidRPr="007F4C95">
        <w:rPr>
          <w:rFonts w:ascii="Times New Roman" w:hAnsi="Times New Roman" w:cs="Times New Roman"/>
          <w:sz w:val="24"/>
          <w:szCs w:val="24"/>
          <w:vertAlign w:val="subscript"/>
          <w:lang w:val="en-US"/>
        </w:rPr>
        <w:t>c</w:t>
      </w:r>
      <w:r w:rsidRPr="007F4C95">
        <w:rPr>
          <w:rFonts w:ascii="Times New Roman" w:hAnsi="Times New Roman" w:cs="Times New Roman"/>
          <w:sz w:val="24"/>
          <w:szCs w:val="24"/>
          <w:lang w:val="en-US"/>
        </w:rPr>
        <w:t xml:space="preserve"> – 7.4 ppm. H</w:t>
      </w:r>
      <w:r w:rsidRPr="007F4C95">
        <w:rPr>
          <w:rFonts w:ascii="Times New Roman" w:hAnsi="Times New Roman" w:cs="Times New Roman"/>
          <w:sz w:val="24"/>
          <w:szCs w:val="24"/>
          <w:vertAlign w:val="subscript"/>
          <w:lang w:val="en-US"/>
        </w:rPr>
        <w:t>a</w:t>
      </w:r>
      <w:r w:rsidRPr="007F4C95">
        <w:rPr>
          <w:rFonts w:ascii="Times New Roman" w:hAnsi="Times New Roman" w:cs="Times New Roman"/>
          <w:sz w:val="24"/>
          <w:szCs w:val="24"/>
          <w:lang w:val="en-US"/>
        </w:rPr>
        <w:t xml:space="preserve"> is shifted furthest downfield due to its position within the intramolecular 6-membered hydrogen bonding ring, whilst H</w:t>
      </w:r>
      <w:r w:rsidRPr="007F4C95">
        <w:rPr>
          <w:rFonts w:ascii="Times New Roman" w:hAnsi="Times New Roman" w:cs="Times New Roman"/>
          <w:sz w:val="24"/>
          <w:szCs w:val="24"/>
          <w:vertAlign w:val="subscript"/>
          <w:lang w:val="en-US"/>
        </w:rPr>
        <w:t xml:space="preserve">b </w:t>
      </w:r>
      <w:r w:rsidRPr="007F4C95">
        <w:rPr>
          <w:rFonts w:ascii="Times New Roman" w:hAnsi="Times New Roman" w:cs="Times New Roman"/>
          <w:sz w:val="24"/>
          <w:szCs w:val="24"/>
          <w:lang w:val="en-US"/>
        </w:rPr>
        <w:t>is more deshielded than H</w:t>
      </w:r>
      <w:r w:rsidRPr="007F4C95">
        <w:rPr>
          <w:rFonts w:ascii="Times New Roman" w:hAnsi="Times New Roman" w:cs="Times New Roman"/>
          <w:sz w:val="24"/>
          <w:szCs w:val="24"/>
          <w:vertAlign w:val="subscript"/>
          <w:lang w:val="en-US"/>
        </w:rPr>
        <w:t>c</w:t>
      </w:r>
      <w:r w:rsidRPr="007F4C95">
        <w:rPr>
          <w:rFonts w:ascii="Times New Roman" w:hAnsi="Times New Roman" w:cs="Times New Roman"/>
          <w:sz w:val="24"/>
          <w:szCs w:val="24"/>
          <w:lang w:val="en-US"/>
        </w:rPr>
        <w:t xml:space="preserve"> due to its presence adjacent to the additional electron-withdrawing H</w:t>
      </w:r>
      <w:r w:rsidRPr="007F4C95">
        <w:rPr>
          <w:rFonts w:ascii="Times New Roman" w:hAnsi="Times New Roman" w:cs="Times New Roman"/>
          <w:sz w:val="24"/>
          <w:szCs w:val="24"/>
          <w:vertAlign w:val="subscript"/>
          <w:lang w:val="en-US"/>
        </w:rPr>
        <w:t>a</w:t>
      </w:r>
      <w:r w:rsidRPr="007F4C95">
        <w:rPr>
          <w:rFonts w:ascii="Times New Roman" w:hAnsi="Times New Roman" w:cs="Times New Roman"/>
          <w:sz w:val="24"/>
          <w:szCs w:val="24"/>
          <w:lang w:val="en-US"/>
        </w:rPr>
        <w:t xml:space="preserve">. </w:t>
      </w:r>
    </w:p>
    <w:p w14:paraId="71662615" w14:textId="77777777" w:rsidR="00EC3C68" w:rsidRPr="007F4C95" w:rsidRDefault="00EC3C68" w:rsidP="00EC3C68">
      <w:pPr>
        <w:pStyle w:val="ListParagraph"/>
        <w:spacing w:line="480" w:lineRule="auto"/>
        <w:jc w:val="center"/>
        <w:rPr>
          <w:rFonts w:ascii="Times New Roman" w:hAnsi="Times New Roman" w:cs="Times New Roman"/>
          <w:sz w:val="24"/>
          <w:szCs w:val="24"/>
          <w:lang w:val="en-US"/>
        </w:rPr>
      </w:pPr>
      <w:r w:rsidRPr="007F4C95">
        <w:rPr>
          <w:rFonts w:ascii="Times New Roman" w:hAnsi="Times New Roman" w:cs="Times New Roman"/>
          <w:noProof/>
          <w:sz w:val="24"/>
          <w:szCs w:val="24"/>
          <w:lang w:val="en-GB" w:eastAsia="en-GB"/>
        </w:rPr>
        <w:drawing>
          <wp:inline distT="0" distB="0" distL="0" distR="0" wp14:anchorId="51603D76" wp14:editId="7422BB4B">
            <wp:extent cx="1871472" cy="2339340"/>
            <wp:effectExtent l="0" t="0" r="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5759" cy="2344699"/>
                    </a:xfrm>
                    <a:prstGeom prst="rect">
                      <a:avLst/>
                    </a:prstGeom>
                  </pic:spPr>
                </pic:pic>
              </a:graphicData>
            </a:graphic>
          </wp:inline>
        </w:drawing>
      </w:r>
    </w:p>
    <w:p w14:paraId="22F24251" w14:textId="7E782AAF" w:rsidR="00EC3C68" w:rsidRPr="007F4C95" w:rsidRDefault="00EC3C68" w:rsidP="00EC3C68">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b/>
          <w:bCs/>
          <w:sz w:val="24"/>
          <w:szCs w:val="24"/>
          <w:lang w:val="en-US"/>
        </w:rPr>
        <w:t xml:space="preserve">3.3. </w:t>
      </w:r>
      <w:r w:rsidRPr="007F4C95">
        <w:rPr>
          <w:rFonts w:ascii="Times New Roman" w:hAnsi="Times New Roman" w:cs="Times New Roman"/>
          <w:sz w:val="24"/>
          <w:szCs w:val="24"/>
          <w:lang w:val="en-US"/>
        </w:rPr>
        <w:t xml:space="preserve">Both hydrophobic ends of the ester substrate can form inclusion complexes with one β-CD molecule, which brings the reactive ester moiety on the substrate into close proximity with the Lewis acidic Cu(II) metal centre on the bridging group. The ester carbonyl group then </w:t>
      </w:r>
      <w:r w:rsidRPr="007F4C95">
        <w:rPr>
          <w:rFonts w:ascii="Times New Roman" w:hAnsi="Times New Roman" w:cs="Times New Roman"/>
          <w:sz w:val="24"/>
          <w:szCs w:val="24"/>
          <w:lang w:val="en-US"/>
        </w:rPr>
        <w:lastRenderedPageBreak/>
        <w:t>ligates the Cu(II) by displacing a weakly-coordinating water molecule. The ester unit then undergoes nucleophilic attack by the adjacent hydroxyl ligand on Cu(II) to break the ester linkage. Then the resulting carboxylate and phenol products dissociate from the cyclodextrin cavities making them available for binding the next ester substrate molecule.</w:t>
      </w:r>
    </w:p>
    <w:p w14:paraId="42E6EA87" w14:textId="77777777" w:rsidR="00EC3C68" w:rsidRPr="007F4C95" w:rsidRDefault="00EC3C68" w:rsidP="00EC3C68">
      <w:pPr>
        <w:spacing w:line="480" w:lineRule="auto"/>
        <w:jc w:val="center"/>
        <w:rPr>
          <w:rFonts w:ascii="Times New Roman" w:hAnsi="Times New Roman" w:cs="Times New Roman"/>
          <w:sz w:val="24"/>
          <w:szCs w:val="24"/>
          <w:lang w:val="en-US"/>
        </w:rPr>
      </w:pPr>
      <w:r w:rsidRPr="007F4C95">
        <w:rPr>
          <w:rFonts w:ascii="Times New Roman" w:hAnsi="Times New Roman" w:cs="Times New Roman"/>
          <w:noProof/>
          <w:sz w:val="24"/>
          <w:szCs w:val="24"/>
          <w:lang w:eastAsia="en-GB"/>
        </w:rPr>
        <w:drawing>
          <wp:inline distT="0" distB="0" distL="0" distR="0" wp14:anchorId="73782DDF" wp14:editId="6484A724">
            <wp:extent cx="5731510" cy="2370455"/>
            <wp:effectExtent l="0" t="0" r="254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370455"/>
                    </a:xfrm>
                    <a:prstGeom prst="rect">
                      <a:avLst/>
                    </a:prstGeom>
                  </pic:spPr>
                </pic:pic>
              </a:graphicData>
            </a:graphic>
          </wp:inline>
        </w:drawing>
      </w:r>
    </w:p>
    <w:p w14:paraId="2FC0135D" w14:textId="77777777" w:rsidR="00EC3C68" w:rsidRPr="007F4C95" w:rsidRDefault="00EC3C68" w:rsidP="00EC3C68">
      <w:pPr>
        <w:pStyle w:val="ListParagraph"/>
        <w:numPr>
          <w:ilvl w:val="0"/>
          <w:numId w:val="1"/>
        </w:numPr>
        <w:spacing w:line="480" w:lineRule="auto"/>
        <w:jc w:val="both"/>
        <w:rPr>
          <w:rFonts w:ascii="Times New Roman" w:hAnsi="Times New Roman" w:cs="Times New Roman"/>
          <w:sz w:val="24"/>
          <w:szCs w:val="24"/>
          <w:lang w:val="en-US"/>
        </w:rPr>
      </w:pPr>
      <w:r w:rsidRPr="007F4C95">
        <w:rPr>
          <w:rFonts w:ascii="Times New Roman" w:hAnsi="Times New Roman" w:cs="Times New Roman"/>
          <w:sz w:val="24"/>
          <w:szCs w:val="24"/>
          <w:lang w:val="en-US"/>
        </w:rPr>
        <w:t>The catalyst is designed to possess two accessible cyclodextrin cavities bridged by a short rigid linker, which preorganises its structure for inclusion of the ester substrate. As seen from the answer to (a), the ester substrate benefits from a bidentate coordination to both cyclodextrin units, while each product can only form inclusion complexes to each individual cyclodextrin. In addition, once bound, the substrate benefits from an additional coordination to the Cu(II) metal centre by the carbonyl oxygen atom, whilst this is not possible for the hydrolysed products. Together, these factors ensure that the substrate is expected to bind to the catalyst a lot more strongly than the products, allowing the former to displace the latter once hydrolysis has occurred and prevent any significant catalyst product inhibition from occurring.</w:t>
      </w:r>
    </w:p>
    <w:p w14:paraId="76B393D9" w14:textId="77777777" w:rsidR="00EC3C68" w:rsidRPr="007F4C95" w:rsidRDefault="00EC3C68" w:rsidP="00EC3C68">
      <w:pPr>
        <w:pStyle w:val="ListParagraph"/>
        <w:numPr>
          <w:ilvl w:val="0"/>
          <w:numId w:val="1"/>
        </w:numPr>
        <w:spacing w:line="480" w:lineRule="auto"/>
        <w:jc w:val="both"/>
        <w:rPr>
          <w:rFonts w:ascii="Times New Roman" w:hAnsi="Times New Roman" w:cs="Times New Roman"/>
          <w:sz w:val="24"/>
          <w:szCs w:val="24"/>
          <w:lang w:val="en-US"/>
        </w:rPr>
      </w:pPr>
      <w:r w:rsidRPr="007F4C95">
        <w:rPr>
          <w:rFonts w:ascii="Times New Roman" w:hAnsi="Times New Roman" w:cs="Times New Roman"/>
          <w:sz w:val="24"/>
          <w:szCs w:val="24"/>
          <w:lang w:val="en-US"/>
        </w:rPr>
        <w:t xml:space="preserve">The activity of the catalyst is dependent on the stability of the initial association between the hydrophobic ester substrate with the cyclodextrin cavities. As the equilibrium of </w:t>
      </w:r>
      <w:r w:rsidRPr="007F4C95">
        <w:rPr>
          <w:rFonts w:ascii="Times New Roman" w:hAnsi="Times New Roman" w:cs="Times New Roman"/>
          <w:i/>
          <w:iCs/>
          <w:sz w:val="24"/>
          <w:szCs w:val="24"/>
          <w:lang w:val="en-US"/>
        </w:rPr>
        <w:t>K</w:t>
      </w:r>
      <w:r w:rsidRPr="007F4C95">
        <w:rPr>
          <w:rFonts w:ascii="Times New Roman" w:hAnsi="Times New Roman" w:cs="Times New Roman"/>
          <w:sz w:val="24"/>
          <w:szCs w:val="24"/>
          <w:vertAlign w:val="subscript"/>
          <w:lang w:val="en-US"/>
        </w:rPr>
        <w:t>1</w:t>
      </w:r>
      <w:r w:rsidRPr="007F4C95">
        <w:rPr>
          <w:rFonts w:ascii="Times New Roman" w:hAnsi="Times New Roman" w:cs="Times New Roman"/>
          <w:sz w:val="24"/>
          <w:szCs w:val="24"/>
          <w:lang w:val="en-US"/>
        </w:rPr>
        <w:t xml:space="preserve"> = </w:t>
      </w:r>
      <w:r w:rsidRPr="007F4C95">
        <w:rPr>
          <w:rFonts w:ascii="Times New Roman" w:hAnsi="Times New Roman" w:cs="Times New Roman"/>
          <w:i/>
          <w:iCs/>
          <w:sz w:val="24"/>
          <w:szCs w:val="24"/>
          <w:lang w:val="en-US"/>
        </w:rPr>
        <w:lastRenderedPageBreak/>
        <w:t>k</w:t>
      </w:r>
      <w:r w:rsidRPr="007F4C95">
        <w:rPr>
          <w:rFonts w:ascii="Times New Roman" w:hAnsi="Times New Roman" w:cs="Times New Roman"/>
          <w:sz w:val="24"/>
          <w:szCs w:val="24"/>
          <w:vertAlign w:val="subscript"/>
          <w:lang w:val="en-US"/>
        </w:rPr>
        <w:t>f</w:t>
      </w:r>
      <w:r w:rsidRPr="007F4C95">
        <w:rPr>
          <w:rFonts w:ascii="Times New Roman" w:hAnsi="Times New Roman" w:cs="Times New Roman"/>
          <w:sz w:val="24"/>
          <w:szCs w:val="24"/>
          <w:lang w:val="en-US"/>
        </w:rPr>
        <w:t xml:space="preserve">/ </w:t>
      </w:r>
      <w:r w:rsidRPr="007F4C95">
        <w:rPr>
          <w:rFonts w:ascii="Times New Roman" w:hAnsi="Times New Roman" w:cs="Times New Roman"/>
          <w:i/>
          <w:iCs/>
          <w:sz w:val="24"/>
          <w:szCs w:val="24"/>
          <w:lang w:val="en-US"/>
        </w:rPr>
        <w:t>k</w:t>
      </w:r>
      <w:r w:rsidRPr="007F4C95">
        <w:rPr>
          <w:rFonts w:ascii="Times New Roman" w:hAnsi="Times New Roman" w:cs="Times New Roman"/>
          <w:sz w:val="24"/>
          <w:szCs w:val="24"/>
          <w:vertAlign w:val="subscript"/>
          <w:lang w:val="en-US"/>
        </w:rPr>
        <w:t>b</w:t>
      </w:r>
      <w:r w:rsidRPr="007F4C95">
        <w:rPr>
          <w:rFonts w:ascii="Times New Roman" w:hAnsi="Times New Roman" w:cs="Times New Roman"/>
          <w:sz w:val="24"/>
          <w:szCs w:val="24"/>
          <w:lang w:val="en-US"/>
        </w:rPr>
        <w:t xml:space="preserve">, with </w:t>
      </w:r>
      <w:r w:rsidRPr="007F4C95">
        <w:rPr>
          <w:rFonts w:ascii="Times New Roman" w:hAnsi="Times New Roman" w:cs="Times New Roman"/>
          <w:i/>
          <w:iCs/>
          <w:sz w:val="24"/>
          <w:szCs w:val="24"/>
          <w:lang w:val="en-US"/>
        </w:rPr>
        <w:t>K</w:t>
      </w:r>
      <w:r w:rsidRPr="007F4C95">
        <w:rPr>
          <w:rFonts w:ascii="Times New Roman" w:hAnsi="Times New Roman" w:cs="Times New Roman"/>
          <w:sz w:val="24"/>
          <w:szCs w:val="24"/>
          <w:vertAlign w:val="subscript"/>
          <w:lang w:val="en-US"/>
        </w:rPr>
        <w:t>1</w:t>
      </w:r>
      <w:r w:rsidRPr="007F4C95">
        <w:rPr>
          <w:rFonts w:ascii="Times New Roman" w:hAnsi="Times New Roman" w:cs="Times New Roman"/>
          <w:sz w:val="24"/>
          <w:szCs w:val="24"/>
          <w:lang w:val="en-US"/>
        </w:rPr>
        <w:t xml:space="preserve"> being the association (binding) constant between the substrate and catalyst, and </w:t>
      </w:r>
      <w:r w:rsidRPr="007F4C95">
        <w:rPr>
          <w:rFonts w:ascii="Times New Roman" w:hAnsi="Times New Roman" w:cs="Times New Roman"/>
          <w:i/>
          <w:iCs/>
          <w:sz w:val="24"/>
          <w:szCs w:val="24"/>
          <w:lang w:val="en-US"/>
        </w:rPr>
        <w:t>k</w:t>
      </w:r>
      <w:r w:rsidRPr="007F4C95">
        <w:rPr>
          <w:rFonts w:ascii="Times New Roman" w:hAnsi="Times New Roman" w:cs="Times New Roman"/>
          <w:sz w:val="24"/>
          <w:szCs w:val="24"/>
          <w:vertAlign w:val="subscript"/>
          <w:lang w:val="en-US"/>
        </w:rPr>
        <w:t>f</w:t>
      </w:r>
      <w:r w:rsidRPr="007F4C95">
        <w:rPr>
          <w:rFonts w:ascii="Times New Roman" w:hAnsi="Times New Roman" w:cs="Times New Roman"/>
          <w:sz w:val="24"/>
          <w:szCs w:val="24"/>
          <w:lang w:val="en-US"/>
        </w:rPr>
        <w:t xml:space="preserve"> and </w:t>
      </w:r>
      <w:r w:rsidRPr="007F4C95">
        <w:rPr>
          <w:rFonts w:ascii="Times New Roman" w:hAnsi="Times New Roman" w:cs="Times New Roman"/>
          <w:i/>
          <w:iCs/>
          <w:sz w:val="24"/>
          <w:szCs w:val="24"/>
          <w:lang w:val="en-US"/>
        </w:rPr>
        <w:t>k</w:t>
      </w:r>
      <w:r w:rsidRPr="007F4C95">
        <w:rPr>
          <w:rFonts w:ascii="Times New Roman" w:hAnsi="Times New Roman" w:cs="Times New Roman"/>
          <w:sz w:val="24"/>
          <w:szCs w:val="24"/>
          <w:vertAlign w:val="subscript"/>
          <w:lang w:val="en-US"/>
        </w:rPr>
        <w:t>b</w:t>
      </w:r>
      <w:r w:rsidRPr="007F4C95">
        <w:rPr>
          <w:rFonts w:ascii="Times New Roman" w:hAnsi="Times New Roman" w:cs="Times New Roman"/>
          <w:sz w:val="24"/>
          <w:szCs w:val="24"/>
          <w:lang w:val="en-US"/>
        </w:rPr>
        <w:t xml:space="preserve"> being the rate constants of the forward (complexation) and backward (decomplexation) reactions respectively, a stronger substrate binding translates to a greater rate of the forward reaction relative to decomplexation. The catalyst-substrate interaction is strongest in water, as the hydrophobic effect necessary for complexation is maximized. In contrast, this interaction in ethanol is less strong due to the lower polarity of the solvent. Hence, as the substrate-catalyst association is most likely the rate-determining step of the hydrolysis, the catalysis is likely to be less efficient in ethanol.</w:t>
      </w:r>
    </w:p>
    <w:p w14:paraId="68F4AF1B" w14:textId="77777777" w:rsidR="0079427F" w:rsidRDefault="0079427F"/>
    <w:sectPr w:rsidR="007942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B7CF" w14:textId="77777777" w:rsidR="00EC3C68" w:rsidRDefault="00EC3C68" w:rsidP="00EC3C68">
      <w:pPr>
        <w:spacing w:after="0" w:line="240" w:lineRule="auto"/>
      </w:pPr>
      <w:r>
        <w:separator/>
      </w:r>
    </w:p>
  </w:endnote>
  <w:endnote w:type="continuationSeparator" w:id="0">
    <w:p w14:paraId="597C827F" w14:textId="77777777" w:rsidR="00EC3C68" w:rsidRDefault="00EC3C68" w:rsidP="00EC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4489" w14:textId="77777777" w:rsidR="00EC3C68" w:rsidRDefault="00EC3C68" w:rsidP="00EC3C68">
      <w:pPr>
        <w:spacing w:after="0" w:line="240" w:lineRule="auto"/>
      </w:pPr>
      <w:r>
        <w:separator/>
      </w:r>
    </w:p>
  </w:footnote>
  <w:footnote w:type="continuationSeparator" w:id="0">
    <w:p w14:paraId="423A5966" w14:textId="77777777" w:rsidR="00EC3C68" w:rsidRDefault="00EC3C68" w:rsidP="00EC3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27E99"/>
    <w:multiLevelType w:val="hybridMultilevel"/>
    <w:tmpl w:val="2E9ECF9C"/>
    <w:lvl w:ilvl="0" w:tplc="F26CD9A6">
      <w:start w:val="2"/>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3695DE6"/>
    <w:multiLevelType w:val="hybridMultilevel"/>
    <w:tmpl w:val="75C8E790"/>
    <w:lvl w:ilvl="0" w:tplc="A51A819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68"/>
    <w:rsid w:val="0047047D"/>
    <w:rsid w:val="004A1918"/>
    <w:rsid w:val="004E2F21"/>
    <w:rsid w:val="006856F9"/>
    <w:rsid w:val="0079427F"/>
    <w:rsid w:val="00814E0D"/>
    <w:rsid w:val="00847E9C"/>
    <w:rsid w:val="00A86222"/>
    <w:rsid w:val="00EC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7AFA7"/>
  <w15:chartTrackingRefBased/>
  <w15:docId w15:val="{63BE3490-4969-44FE-9005-735ACE1C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C6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C68"/>
    <w:pPr>
      <w:ind w:left="720"/>
      <w:contextualSpacing/>
    </w:pPr>
    <w:rPr>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794</Words>
  <Characters>4210</Characters>
  <Application>Microsoft Office Word</Application>
  <DocSecurity>0</DocSecurity>
  <Lines>67</Lines>
  <Paragraphs>19</Paragraphs>
  <ScaleCrop>false</ScaleCrop>
  <Company>Oxford University Press</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Bajo Gutiérrez</dc:creator>
  <cp:keywords/>
  <dc:description/>
  <cp:lastModifiedBy>Maria Bajo Gutiérrez</cp:lastModifiedBy>
  <cp:revision>1</cp:revision>
  <dcterms:created xsi:type="dcterms:W3CDTF">2022-11-16T11:40:00Z</dcterms:created>
  <dcterms:modified xsi:type="dcterms:W3CDTF">2022-11-16T11:41:00Z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2022-11-16T11:40:11Z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70e21876-70e3-480b-b683-bab724af6291</vt:lpwstr>
  </property>
  <property fmtid="{D5CDD505-2E9C-101B-9397-08002B2CF9AE}" pid="8" name="MSIP_Label_be5cb09a-2992-49d6-8ac9-5f63e7b1ad2f_ContentBits">
    <vt:lpwstr>0</vt:lpwstr>
  </property>
  <property fmtid="{D5CDD505-2E9C-101B-9397-08002B2CF9AE}" pid="9" name="GrammarlyDocumentId">
    <vt:lpwstr>32ccb726-1996-4f09-8ccf-27e42c23ef0c</vt:lpwstr>
  </property>
</Properties>
</file>