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9EEC" w14:textId="77777777" w:rsidR="00494578" w:rsidRDefault="00494578" w:rsidP="00494578">
      <w:pPr>
        <w:spacing w:line="480" w:lineRule="auto"/>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Chapter 5</w:t>
      </w:r>
    </w:p>
    <w:p w14:paraId="5E3A9900" w14:textId="77777777" w:rsidR="00494578" w:rsidRPr="00C45CD6" w:rsidRDefault="00494578" w:rsidP="00494578">
      <w:pPr>
        <w:spacing w:after="0" w:line="480" w:lineRule="auto"/>
        <w:jc w:val="both"/>
        <w:rPr>
          <w:rFonts w:ascii="Times New Roman" w:hAnsi="Times New Roman" w:cs="Times New Roman"/>
          <w:b/>
          <w:bCs/>
        </w:rPr>
      </w:pPr>
      <w:r w:rsidRPr="00C45CD6">
        <w:rPr>
          <w:rFonts w:ascii="Times New Roman" w:hAnsi="Times New Roman" w:cs="Times New Roman"/>
          <w:b/>
          <w:bCs/>
        </w:rPr>
        <w:t>Answers</w:t>
      </w:r>
    </w:p>
    <w:p w14:paraId="411590F6" w14:textId="27BB90C1" w:rsidR="00494578" w:rsidRPr="00C45CD6" w:rsidRDefault="00494578" w:rsidP="00494578">
      <w:pPr>
        <w:spacing w:after="0" w:line="480" w:lineRule="auto"/>
        <w:jc w:val="both"/>
        <w:rPr>
          <w:rFonts w:ascii="Times New Roman" w:hAnsi="Times New Roman" w:cs="Times New Roman"/>
          <w:bCs/>
        </w:rPr>
      </w:pPr>
      <w:r>
        <w:rPr>
          <w:rFonts w:ascii="Times New Roman" w:hAnsi="Times New Roman" w:cs="Times New Roman"/>
          <w:b/>
          <w:bCs/>
        </w:rPr>
        <w:t xml:space="preserve">5.1. </w:t>
      </w:r>
      <w:r>
        <w:rPr>
          <w:rFonts w:ascii="Times New Roman" w:hAnsi="Times New Roman" w:cs="Times New Roman"/>
        </w:rPr>
        <w:t>(</w:t>
      </w:r>
      <w:r w:rsidRPr="00C45CD6">
        <w:rPr>
          <w:rFonts w:ascii="Times New Roman" w:hAnsi="Times New Roman" w:cs="Times New Roman"/>
          <w:bCs/>
        </w:rPr>
        <w:t xml:space="preserve">a) Both rotaxanes and </w:t>
      </w:r>
      <w:proofErr w:type="spellStart"/>
      <w:r w:rsidRPr="00C45CD6">
        <w:rPr>
          <w:rFonts w:ascii="Times New Roman" w:hAnsi="Times New Roman" w:cs="Times New Roman"/>
          <w:bCs/>
        </w:rPr>
        <w:t>catenanes</w:t>
      </w:r>
      <w:proofErr w:type="spellEnd"/>
      <w:r w:rsidRPr="00C45CD6">
        <w:rPr>
          <w:rFonts w:ascii="Times New Roman" w:hAnsi="Times New Roman" w:cs="Times New Roman"/>
          <w:bCs/>
        </w:rPr>
        <w:t xml:space="preserve"> are mechanically interlocked molecules which because of their mechanically bonded components cannot be separated without breaking or distorting chemical bonds. However, rotaxanes </w:t>
      </w:r>
      <w:proofErr w:type="gramStart"/>
      <w:r w:rsidRPr="00C45CD6">
        <w:rPr>
          <w:rFonts w:ascii="Times New Roman" w:hAnsi="Times New Roman" w:cs="Times New Roman"/>
          <w:bCs/>
        </w:rPr>
        <w:t>are considered to be</w:t>
      </w:r>
      <w:proofErr w:type="gramEnd"/>
      <w:r w:rsidRPr="00C45CD6">
        <w:rPr>
          <w:rFonts w:ascii="Times New Roman" w:hAnsi="Times New Roman" w:cs="Times New Roman"/>
          <w:bCs/>
        </w:rPr>
        <w:t xml:space="preserve"> topologically trivial because under continuous deformations such as stretching the macrocycle or shrinking the stoppering units, the ring and axle components may be pulled apart without breaking a chemical bond. The opposite is true for </w:t>
      </w:r>
      <w:proofErr w:type="spellStart"/>
      <w:r w:rsidRPr="00C45CD6">
        <w:rPr>
          <w:rFonts w:ascii="Times New Roman" w:hAnsi="Times New Roman" w:cs="Times New Roman"/>
          <w:bCs/>
        </w:rPr>
        <w:t>catenanes</w:t>
      </w:r>
      <w:proofErr w:type="spellEnd"/>
      <w:r w:rsidRPr="00C45CD6">
        <w:rPr>
          <w:rFonts w:ascii="Times New Roman" w:hAnsi="Times New Roman" w:cs="Times New Roman"/>
          <w:bCs/>
        </w:rPr>
        <w:t>, they are a type of molecular link and so have a more complex topology then rotaxanes.</w:t>
      </w:r>
    </w:p>
    <w:p w14:paraId="73670B1A" w14:textId="4832E32F" w:rsidR="00494578" w:rsidRPr="00C45CD6" w:rsidRDefault="00494578" w:rsidP="00494578">
      <w:pPr>
        <w:spacing w:after="0" w:line="480" w:lineRule="auto"/>
        <w:jc w:val="both"/>
        <w:rPr>
          <w:rFonts w:ascii="Times New Roman" w:hAnsi="Times New Roman" w:cs="Times New Roman"/>
          <w:bCs/>
        </w:rPr>
      </w:pPr>
      <w:r>
        <w:rPr>
          <w:rFonts w:ascii="Times New Roman" w:hAnsi="Times New Roman" w:cs="Times New Roman"/>
          <w:bCs/>
        </w:rPr>
        <w:t>(</w:t>
      </w:r>
      <w:r w:rsidRPr="00C45CD6">
        <w:rPr>
          <w:rFonts w:ascii="Times New Roman" w:hAnsi="Times New Roman" w:cs="Times New Roman"/>
          <w:bCs/>
        </w:rPr>
        <w:t xml:space="preserve">b) The fact that the rings of a </w:t>
      </w:r>
      <w:proofErr w:type="spellStart"/>
      <w:r w:rsidRPr="00C45CD6">
        <w:rPr>
          <w:rFonts w:ascii="Times New Roman" w:hAnsi="Times New Roman" w:cs="Times New Roman"/>
          <w:bCs/>
        </w:rPr>
        <w:t>catenane</w:t>
      </w:r>
      <w:proofErr w:type="spellEnd"/>
      <w:r w:rsidRPr="00C45CD6">
        <w:rPr>
          <w:rFonts w:ascii="Times New Roman" w:hAnsi="Times New Roman" w:cs="Times New Roman"/>
          <w:bCs/>
        </w:rPr>
        <w:t xml:space="preserve"> cannot be separated without breaking a chemical bond means that a chemical bond must be formed in any proposed synthesis, </w:t>
      </w:r>
      <w:proofErr w:type="gramStart"/>
      <w:r w:rsidRPr="00C45CD6">
        <w:rPr>
          <w:rFonts w:ascii="Times New Roman" w:hAnsi="Times New Roman" w:cs="Times New Roman"/>
          <w:bCs/>
        </w:rPr>
        <w:t>i.e.</w:t>
      </w:r>
      <w:proofErr w:type="gramEnd"/>
      <w:r w:rsidRPr="00C45CD6">
        <w:rPr>
          <w:rFonts w:ascii="Times New Roman" w:hAnsi="Times New Roman" w:cs="Times New Roman"/>
          <w:bCs/>
        </w:rPr>
        <w:t xml:space="preserve"> macrocycle clipping step. However, rotaxanes, can be prepared by strategies such as shrinking, swelling and slippage, in which a </w:t>
      </w:r>
      <w:proofErr w:type="spellStart"/>
      <w:r w:rsidRPr="00C45CD6">
        <w:rPr>
          <w:rFonts w:ascii="Times New Roman" w:hAnsi="Times New Roman" w:cs="Times New Roman"/>
          <w:bCs/>
        </w:rPr>
        <w:t>pseudorotaxane</w:t>
      </w:r>
      <w:proofErr w:type="spellEnd"/>
      <w:r w:rsidRPr="00C45CD6">
        <w:rPr>
          <w:rFonts w:ascii="Times New Roman" w:hAnsi="Times New Roman" w:cs="Times New Roman"/>
          <w:bCs/>
        </w:rPr>
        <w:t xml:space="preserve"> intermediate becomes kinetically stabilised. The various synthetic approaches are summarised in Figure 5.4. </w:t>
      </w:r>
    </w:p>
    <w:p w14:paraId="5321C733" w14:textId="61AD1607" w:rsidR="00494578" w:rsidRPr="00C45CD6" w:rsidRDefault="00494578" w:rsidP="00494578">
      <w:pPr>
        <w:spacing w:after="0" w:line="480" w:lineRule="auto"/>
        <w:jc w:val="both"/>
        <w:rPr>
          <w:rFonts w:ascii="Times New Roman" w:hAnsi="Times New Roman" w:cs="Times New Roman"/>
          <w:bCs/>
        </w:rPr>
      </w:pPr>
      <w:r>
        <w:rPr>
          <w:rFonts w:ascii="Times New Roman" w:hAnsi="Times New Roman" w:cs="Times New Roman"/>
          <w:bCs/>
        </w:rPr>
        <w:t>(</w:t>
      </w:r>
      <w:r w:rsidRPr="00C45CD6">
        <w:rPr>
          <w:rFonts w:ascii="Times New Roman" w:hAnsi="Times New Roman" w:cs="Times New Roman"/>
          <w:bCs/>
        </w:rPr>
        <w:t xml:space="preserve">c) Interactions used in template-directed MIM synthesis </w:t>
      </w:r>
      <w:proofErr w:type="gramStart"/>
      <w:r w:rsidRPr="00C45CD6">
        <w:rPr>
          <w:rFonts w:ascii="Times New Roman" w:hAnsi="Times New Roman" w:cs="Times New Roman"/>
          <w:bCs/>
        </w:rPr>
        <w:t>include;</w:t>
      </w:r>
      <w:proofErr w:type="gramEnd"/>
      <w:r w:rsidRPr="00C45CD6">
        <w:rPr>
          <w:rFonts w:ascii="Times New Roman" w:hAnsi="Times New Roman" w:cs="Times New Roman"/>
          <w:bCs/>
        </w:rPr>
        <w:t xml:space="preserve"> metal–ligand i.e. dative covalent bonding, π–π aromatic stacking, hydrogen bonding, hydrophobic forces, anion–hydrogen bonding and halogen bonding interactions. Non-polar solvents favour the use of weaker intermolecular forces such as hydrogen bonding and donor-acceptor π–π stacking, whilst hydrophobic and </w:t>
      </w:r>
      <w:proofErr w:type="spellStart"/>
      <w:r w:rsidRPr="00C45CD6">
        <w:rPr>
          <w:rFonts w:ascii="Times New Roman" w:hAnsi="Times New Roman" w:cs="Times New Roman"/>
          <w:bCs/>
        </w:rPr>
        <w:t>solvophobic</w:t>
      </w:r>
      <w:proofErr w:type="spellEnd"/>
      <w:r w:rsidRPr="00C45CD6">
        <w:rPr>
          <w:rFonts w:ascii="Times New Roman" w:hAnsi="Times New Roman" w:cs="Times New Roman"/>
          <w:bCs/>
        </w:rPr>
        <w:t xml:space="preserve"> effects are used in polar solvents, such as the inclusion complexes formed with cyclodextrin macrocycles. Whilst a strong association with the templating species is important, it is critical that these interactions template the formation of an interpenetrated assembly, </w:t>
      </w:r>
      <w:proofErr w:type="gramStart"/>
      <w:r w:rsidRPr="00C45CD6">
        <w:rPr>
          <w:rFonts w:ascii="Times New Roman" w:hAnsi="Times New Roman" w:cs="Times New Roman"/>
          <w:bCs/>
        </w:rPr>
        <w:t>i.e.</w:t>
      </w:r>
      <w:proofErr w:type="gramEnd"/>
      <w:r w:rsidRPr="00C45CD6">
        <w:rPr>
          <w:rFonts w:ascii="Times New Roman" w:hAnsi="Times New Roman" w:cs="Times New Roman"/>
          <w:bCs/>
        </w:rPr>
        <w:t xml:space="preserve"> a </w:t>
      </w:r>
      <w:proofErr w:type="spellStart"/>
      <w:r w:rsidRPr="00C45CD6">
        <w:rPr>
          <w:rFonts w:ascii="Times New Roman" w:hAnsi="Times New Roman" w:cs="Times New Roman"/>
          <w:bCs/>
        </w:rPr>
        <w:t>pseudorotaxane</w:t>
      </w:r>
      <w:proofErr w:type="spellEnd"/>
      <w:r w:rsidRPr="00C45CD6">
        <w:rPr>
          <w:rFonts w:ascii="Times New Roman" w:hAnsi="Times New Roman" w:cs="Times New Roman"/>
          <w:bCs/>
        </w:rPr>
        <w:t xml:space="preserve">. For example, both the crown ethers in Figure 5.9 bind strongly to a secondary ammonium ion, but only the larger one </w:t>
      </w:r>
      <w:proofErr w:type="gramStart"/>
      <w:r w:rsidRPr="00C45CD6">
        <w:rPr>
          <w:rFonts w:ascii="Times New Roman" w:hAnsi="Times New Roman" w:cs="Times New Roman"/>
          <w:bCs/>
        </w:rPr>
        <w:t>is able to</w:t>
      </w:r>
      <w:proofErr w:type="gramEnd"/>
      <w:r w:rsidRPr="00C45CD6">
        <w:rPr>
          <w:rFonts w:ascii="Times New Roman" w:hAnsi="Times New Roman" w:cs="Times New Roman"/>
          <w:bCs/>
        </w:rPr>
        <w:t xml:space="preserve"> direct the formation of an interpenetrated assembly. </w:t>
      </w:r>
    </w:p>
    <w:p w14:paraId="51E3D8F3" w14:textId="63425757" w:rsidR="00494578" w:rsidRPr="00C45CD6" w:rsidRDefault="00494578" w:rsidP="00494578">
      <w:pPr>
        <w:spacing w:after="0" w:line="480" w:lineRule="auto"/>
        <w:jc w:val="both"/>
        <w:rPr>
          <w:rFonts w:ascii="Times New Roman" w:hAnsi="Times New Roman" w:cs="Times New Roman"/>
          <w:bCs/>
        </w:rPr>
      </w:pPr>
      <w:r>
        <w:rPr>
          <w:rFonts w:ascii="Times New Roman" w:hAnsi="Times New Roman" w:cs="Times New Roman"/>
          <w:bCs/>
        </w:rPr>
        <w:t>(</w:t>
      </w:r>
      <w:r w:rsidRPr="00C45CD6">
        <w:rPr>
          <w:rFonts w:ascii="Times New Roman" w:hAnsi="Times New Roman" w:cs="Times New Roman"/>
          <w:bCs/>
        </w:rPr>
        <w:t xml:space="preserve">d) Active metal templates typically deliver high yields of MIMs, require only a catalytic quantity of the metal template and form MIMs with weak inter-component interactions, beneficial for enabling dynamic properties.    </w:t>
      </w:r>
    </w:p>
    <w:p w14:paraId="2D06D1EC" w14:textId="77777777" w:rsidR="00494578" w:rsidRPr="00C45CD6" w:rsidRDefault="00494578" w:rsidP="00494578">
      <w:pPr>
        <w:spacing w:after="0" w:line="480" w:lineRule="auto"/>
        <w:jc w:val="both"/>
        <w:rPr>
          <w:rFonts w:ascii="Times New Roman" w:hAnsi="Times New Roman" w:cs="Times New Roman"/>
          <w:bCs/>
        </w:rPr>
      </w:pPr>
      <w:r w:rsidRPr="00C45CD6">
        <w:rPr>
          <w:rFonts w:ascii="Times New Roman" w:hAnsi="Times New Roman" w:cs="Times New Roman"/>
          <w:bCs/>
        </w:rPr>
        <w:lastRenderedPageBreak/>
        <w:t xml:space="preserve">e) Eglington-Glaser-Hay, Ullmann and </w:t>
      </w:r>
      <w:proofErr w:type="spellStart"/>
      <w:r w:rsidRPr="00C45CD6">
        <w:rPr>
          <w:rFonts w:ascii="Times New Roman" w:hAnsi="Times New Roman" w:cs="Times New Roman"/>
          <w:bCs/>
        </w:rPr>
        <w:t>Sonogashira</w:t>
      </w:r>
      <w:proofErr w:type="spellEnd"/>
      <w:r w:rsidRPr="00C45CD6">
        <w:rPr>
          <w:rFonts w:ascii="Times New Roman" w:hAnsi="Times New Roman" w:cs="Times New Roman"/>
          <w:bCs/>
        </w:rPr>
        <w:t xml:space="preserve"> reactions are all possible, using coordination of Cu(I). Likewise an oxidative Heck reaction using </w:t>
      </w:r>
      <w:proofErr w:type="gramStart"/>
      <w:r w:rsidRPr="00C45CD6">
        <w:rPr>
          <w:rFonts w:ascii="Times New Roman" w:hAnsi="Times New Roman" w:cs="Times New Roman"/>
          <w:bCs/>
        </w:rPr>
        <w:t>Pd(</w:t>
      </w:r>
      <w:proofErr w:type="gramEnd"/>
      <w:r w:rsidRPr="00C45CD6">
        <w:rPr>
          <w:rFonts w:ascii="Times New Roman" w:hAnsi="Times New Roman" w:cs="Times New Roman"/>
          <w:bCs/>
        </w:rPr>
        <w:t xml:space="preserve">II) for the coupling of a boronic acid with an alkene. </w:t>
      </w:r>
      <w:proofErr w:type="gramStart"/>
      <w:r w:rsidRPr="00C45CD6">
        <w:rPr>
          <w:rFonts w:ascii="Times New Roman" w:hAnsi="Times New Roman" w:cs="Times New Roman"/>
          <w:bCs/>
        </w:rPr>
        <w:t>Ni(</w:t>
      </w:r>
      <w:proofErr w:type="gramEnd"/>
      <w:r w:rsidRPr="00C45CD6">
        <w:rPr>
          <w:rFonts w:ascii="Times New Roman" w:hAnsi="Times New Roman" w:cs="Times New Roman"/>
          <w:bCs/>
        </w:rPr>
        <w:t xml:space="preserve">II) has been used to prepare a [2]rotaxane </w:t>
      </w:r>
      <w:r w:rsidRPr="00C45CD6">
        <w:rPr>
          <w:rFonts w:ascii="Times New Roman" w:hAnsi="Times New Roman" w:cs="Times New Roman"/>
          <w:bCs/>
          <w:i/>
        </w:rPr>
        <w:t>via</w:t>
      </w:r>
      <w:r w:rsidRPr="00C45CD6">
        <w:rPr>
          <w:rFonts w:ascii="Times New Roman" w:hAnsi="Times New Roman" w:cs="Times New Roman"/>
          <w:bCs/>
        </w:rPr>
        <w:t xml:space="preserve"> </w:t>
      </w:r>
      <w:proofErr w:type="spellStart"/>
      <w:r w:rsidRPr="00C45CD6">
        <w:rPr>
          <w:rFonts w:ascii="Times New Roman" w:hAnsi="Times New Roman" w:cs="Times New Roman"/>
          <w:bCs/>
        </w:rPr>
        <w:t>bromoalkane</w:t>
      </w:r>
      <w:proofErr w:type="spellEnd"/>
      <w:r w:rsidRPr="00C45CD6">
        <w:rPr>
          <w:rFonts w:ascii="Times New Roman" w:hAnsi="Times New Roman" w:cs="Times New Roman"/>
          <w:bCs/>
        </w:rPr>
        <w:t xml:space="preserve"> homocoupling (see below). Importantly, all these active metal template-directed syntheses require the metal catalyst to be coordinated </w:t>
      </w:r>
      <w:proofErr w:type="spellStart"/>
      <w:r w:rsidRPr="00C45CD6">
        <w:rPr>
          <w:rFonts w:ascii="Times New Roman" w:hAnsi="Times New Roman" w:cs="Times New Roman"/>
          <w:bCs/>
        </w:rPr>
        <w:t>endotopically</w:t>
      </w:r>
      <w:proofErr w:type="spellEnd"/>
      <w:r w:rsidRPr="00C45CD6">
        <w:rPr>
          <w:rFonts w:ascii="Times New Roman" w:hAnsi="Times New Roman" w:cs="Times New Roman"/>
          <w:bCs/>
        </w:rPr>
        <w:t xml:space="preserve"> by the macrocycle to deliver a MIM.</w:t>
      </w:r>
    </w:p>
    <w:p w14:paraId="79B016EF" w14:textId="77777777" w:rsidR="00494578" w:rsidRPr="00C45CD6" w:rsidRDefault="00494578" w:rsidP="00494578">
      <w:pPr>
        <w:spacing w:after="0" w:line="480" w:lineRule="auto"/>
        <w:jc w:val="both"/>
        <w:rPr>
          <w:rFonts w:ascii="Times New Roman" w:hAnsi="Times New Roman" w:cs="Times New Roman"/>
          <w:bCs/>
        </w:rPr>
      </w:pPr>
      <w:r w:rsidRPr="00C45CD6">
        <w:object w:dxaOrig="7536" w:dyaOrig="7978" w14:anchorId="3912A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9.95pt" o:ole="">
            <v:imagedata r:id="rId6" o:title=""/>
          </v:shape>
          <o:OLEObject Type="Embed" ProgID="ChemDraw.Document.6.0" ShapeID="_x0000_i1025" DrawAspect="Content" ObjectID="_1730104678" r:id="rId7"/>
        </w:object>
      </w:r>
    </w:p>
    <w:p w14:paraId="736CC49C" w14:textId="77777777" w:rsidR="00494578" w:rsidRPr="00C45CD6" w:rsidRDefault="00494578" w:rsidP="00494578">
      <w:pPr>
        <w:spacing w:after="0" w:line="480" w:lineRule="auto"/>
        <w:jc w:val="both"/>
        <w:rPr>
          <w:rFonts w:ascii="Times New Roman" w:hAnsi="Times New Roman" w:cs="Times New Roman"/>
          <w:bCs/>
        </w:rPr>
      </w:pPr>
    </w:p>
    <w:p w14:paraId="0418C5A6" w14:textId="51E76CB3" w:rsidR="00494578" w:rsidRPr="00C45CD6" w:rsidRDefault="00494578" w:rsidP="00494578">
      <w:pPr>
        <w:spacing w:after="0" w:line="480" w:lineRule="auto"/>
        <w:jc w:val="both"/>
        <w:rPr>
          <w:rFonts w:ascii="Times New Roman" w:hAnsi="Times New Roman" w:cs="Times New Roman"/>
          <w:bCs/>
        </w:rPr>
      </w:pPr>
      <w:r>
        <w:rPr>
          <w:rFonts w:ascii="Times New Roman" w:hAnsi="Times New Roman" w:cs="Times New Roman"/>
          <w:b/>
          <w:bCs/>
        </w:rPr>
        <w:t xml:space="preserve">5.2. </w:t>
      </w:r>
      <w:r>
        <w:rPr>
          <w:rFonts w:ascii="Times New Roman" w:hAnsi="Times New Roman" w:cs="Times New Roman"/>
        </w:rPr>
        <w:t>(</w:t>
      </w:r>
      <w:r w:rsidRPr="00C45CD6">
        <w:rPr>
          <w:rFonts w:ascii="Times New Roman" w:hAnsi="Times New Roman" w:cs="Times New Roman"/>
          <w:bCs/>
        </w:rPr>
        <w:t xml:space="preserve">a) The three types of molecular motion in a MIM are translation, pirouetting and rocking, as illustrated in Figure 5.19. In a </w:t>
      </w:r>
      <w:proofErr w:type="spellStart"/>
      <w:r w:rsidRPr="00C45CD6">
        <w:rPr>
          <w:rFonts w:ascii="Times New Roman" w:hAnsi="Times New Roman" w:cs="Times New Roman"/>
          <w:bCs/>
        </w:rPr>
        <w:t>catenane</w:t>
      </w:r>
      <w:proofErr w:type="spellEnd"/>
      <w:r w:rsidRPr="00C45CD6">
        <w:rPr>
          <w:rFonts w:ascii="Times New Roman" w:hAnsi="Times New Roman" w:cs="Times New Roman"/>
          <w:bCs/>
        </w:rPr>
        <w:t xml:space="preserve"> the pirouetting of one ring is equivalent to the translation (or </w:t>
      </w:r>
      <w:proofErr w:type="spellStart"/>
      <w:r w:rsidRPr="00C45CD6">
        <w:rPr>
          <w:rFonts w:ascii="Times New Roman" w:hAnsi="Times New Roman" w:cs="Times New Roman"/>
          <w:bCs/>
        </w:rPr>
        <w:t>circumrotation</w:t>
      </w:r>
      <w:proofErr w:type="spellEnd"/>
      <w:r w:rsidRPr="00C45CD6">
        <w:rPr>
          <w:rFonts w:ascii="Times New Roman" w:hAnsi="Times New Roman" w:cs="Times New Roman"/>
          <w:bCs/>
        </w:rPr>
        <w:t xml:space="preserve">) of the other, the terminology is dependent on the frame of reference. </w:t>
      </w:r>
      <w:proofErr w:type="gramStart"/>
      <w:r w:rsidRPr="00C45CD6">
        <w:rPr>
          <w:rFonts w:ascii="Times New Roman" w:hAnsi="Times New Roman" w:cs="Times New Roman"/>
          <w:bCs/>
        </w:rPr>
        <w:t>Typically</w:t>
      </w:r>
      <w:proofErr w:type="gramEnd"/>
      <w:r w:rsidRPr="00C45CD6">
        <w:rPr>
          <w:rFonts w:ascii="Times New Roman" w:hAnsi="Times New Roman" w:cs="Times New Roman"/>
          <w:bCs/>
        </w:rPr>
        <w:t xml:space="preserve"> the motion of the smaller ring is described while keeping the larger one fixed. </w:t>
      </w:r>
    </w:p>
    <w:p w14:paraId="4563126C" w14:textId="3641ED10" w:rsidR="00494578" w:rsidRPr="00C45CD6" w:rsidRDefault="00494578" w:rsidP="00494578">
      <w:pPr>
        <w:spacing w:after="0" w:line="480" w:lineRule="auto"/>
        <w:jc w:val="both"/>
        <w:rPr>
          <w:rFonts w:ascii="Times New Roman" w:hAnsi="Times New Roman" w:cs="Times New Roman"/>
          <w:bCs/>
        </w:rPr>
      </w:pPr>
      <w:r>
        <w:rPr>
          <w:rFonts w:ascii="Times New Roman" w:hAnsi="Times New Roman" w:cs="Times New Roman"/>
          <w:bCs/>
        </w:rPr>
        <w:t>(</w:t>
      </w:r>
      <w:r w:rsidRPr="00C45CD6">
        <w:rPr>
          <w:rFonts w:ascii="Times New Roman" w:hAnsi="Times New Roman" w:cs="Times New Roman"/>
          <w:bCs/>
        </w:rPr>
        <w:t xml:space="preserve">b) In a non-degenerate molecular </w:t>
      </w:r>
      <w:proofErr w:type="gramStart"/>
      <w:r w:rsidRPr="00C45CD6">
        <w:rPr>
          <w:rFonts w:ascii="Times New Roman" w:hAnsi="Times New Roman" w:cs="Times New Roman"/>
          <w:bCs/>
        </w:rPr>
        <w:t>shuttle</w:t>
      </w:r>
      <w:proofErr w:type="gramEnd"/>
      <w:r w:rsidRPr="00C45CD6">
        <w:rPr>
          <w:rFonts w:ascii="Times New Roman" w:hAnsi="Times New Roman" w:cs="Times New Roman"/>
          <w:bCs/>
        </w:rPr>
        <w:t xml:space="preserve"> the macrocycle experiences a different interaction free energy with each station.  Since station A is thermodynamically favoured, it now has the lower energy well on the potential energy profile diagram and so a higher macrocycle occupancy than station B. The population difference between these two stations will be related to their difference in free energy (Δ</w:t>
      </w:r>
      <w:r w:rsidRPr="00C45CD6">
        <w:rPr>
          <w:rFonts w:ascii="Times New Roman" w:hAnsi="Times New Roman" w:cs="Times New Roman"/>
          <w:bCs/>
          <w:i/>
        </w:rPr>
        <w:t>G</w:t>
      </w:r>
      <w:r w:rsidRPr="00C45CD6">
        <w:rPr>
          <w:rFonts w:ascii="Times New Roman" w:hAnsi="Times New Roman" w:cs="Times New Roman"/>
          <w:bCs/>
        </w:rPr>
        <w:t xml:space="preserve">). </w:t>
      </w:r>
    </w:p>
    <w:p w14:paraId="04C69E04" w14:textId="77777777" w:rsidR="00494578" w:rsidRPr="00C45CD6" w:rsidRDefault="00494578" w:rsidP="00494578">
      <w:pPr>
        <w:spacing w:after="0" w:line="480" w:lineRule="auto"/>
        <w:jc w:val="both"/>
        <w:rPr>
          <w:rFonts w:ascii="Times New Roman" w:hAnsi="Times New Roman" w:cs="Times New Roman"/>
          <w:b/>
          <w:bCs/>
        </w:rPr>
      </w:pPr>
      <w:r w:rsidRPr="00C45CD6">
        <w:object w:dxaOrig="6864" w:dyaOrig="12388" w14:anchorId="1AB68917">
          <v:shape id="_x0000_i1026" type="#_x0000_t75" style="width:101.9pt;height:182.35pt" o:ole="">
            <v:imagedata r:id="rId8" o:title=""/>
          </v:shape>
          <o:OLEObject Type="Embed" ProgID="ChemDraw.Document.6.0" ShapeID="_x0000_i1026" DrawAspect="Content" ObjectID="_1730104679" r:id="rId9"/>
        </w:object>
      </w:r>
    </w:p>
    <w:p w14:paraId="52A8BEB1" w14:textId="730FC34A" w:rsidR="00494578" w:rsidRPr="00C45CD6" w:rsidRDefault="00494578" w:rsidP="00494578">
      <w:pPr>
        <w:spacing w:after="0" w:line="480" w:lineRule="auto"/>
        <w:jc w:val="both"/>
        <w:rPr>
          <w:rFonts w:ascii="Times New Roman" w:hAnsi="Times New Roman" w:cs="Times New Roman"/>
          <w:bCs/>
        </w:rPr>
      </w:pPr>
      <w:r>
        <w:rPr>
          <w:rFonts w:ascii="Times New Roman" w:hAnsi="Times New Roman" w:cs="Times New Roman"/>
          <w:bCs/>
        </w:rPr>
        <w:t>(</w:t>
      </w:r>
      <w:r w:rsidRPr="00C45CD6">
        <w:rPr>
          <w:rFonts w:ascii="Times New Roman" w:hAnsi="Times New Roman" w:cs="Times New Roman"/>
          <w:bCs/>
        </w:rPr>
        <w:t>c) The free energy of guest binding (typically a gain in enthalpy due to formation of new non-covalent interactions) lowers the potential energy well for station B below that of station A, making it the favourable site for macrocycle occupancy. At constant temperature, a significant lowering in the energy of station B will increase the energy barrier the macrocycle must overcome to reach station A (Δ</w:t>
      </w:r>
      <w:r w:rsidRPr="00C45CD6">
        <w:rPr>
          <w:rFonts w:ascii="Times New Roman" w:hAnsi="Times New Roman" w:cs="Times New Roman"/>
          <w:bCs/>
          <w:i/>
        </w:rPr>
        <w:t>G</w:t>
      </w:r>
      <w:r w:rsidRPr="00C45CD6">
        <w:rPr>
          <w:rFonts w:ascii="Times New Roman" w:hAnsi="Times New Roman" w:cs="Times New Roman"/>
          <w:bCs/>
          <w:vertAlign w:val="superscript"/>
        </w:rPr>
        <w:t>‡</w:t>
      </w:r>
      <w:r w:rsidRPr="00C45CD6">
        <w:rPr>
          <w:rFonts w:ascii="Times New Roman" w:hAnsi="Times New Roman" w:cs="Times New Roman"/>
          <w:bCs/>
        </w:rPr>
        <w:t>) and hence slow down the kinetics of translational motion, even switching it off altogether if it does not have enough thermal energy (</w:t>
      </w:r>
      <w:proofErr w:type="spellStart"/>
      <w:r w:rsidRPr="00C45CD6">
        <w:rPr>
          <w:rFonts w:ascii="Times New Roman" w:hAnsi="Times New Roman" w:cs="Times New Roman"/>
          <w:bCs/>
          <w:i/>
        </w:rPr>
        <w:t>kT</w:t>
      </w:r>
      <w:proofErr w:type="spellEnd"/>
      <w:r w:rsidRPr="00C45CD6">
        <w:rPr>
          <w:rFonts w:ascii="Times New Roman" w:hAnsi="Times New Roman" w:cs="Times New Roman"/>
          <w:bCs/>
        </w:rPr>
        <w:t xml:space="preserve">). </w:t>
      </w:r>
    </w:p>
    <w:p w14:paraId="2EA871D4" w14:textId="77777777" w:rsidR="00494578" w:rsidRPr="00C45CD6" w:rsidRDefault="00494578" w:rsidP="00494578">
      <w:pPr>
        <w:spacing w:after="0" w:line="480" w:lineRule="auto"/>
        <w:jc w:val="both"/>
        <w:rPr>
          <w:rFonts w:ascii="Times New Roman" w:hAnsi="Times New Roman" w:cs="Times New Roman"/>
          <w:bCs/>
        </w:rPr>
      </w:pPr>
      <w:r w:rsidRPr="00C45CD6">
        <w:object w:dxaOrig="8351" w:dyaOrig="14405" w14:anchorId="67B5EAE7">
          <v:shape id="_x0000_i1027" type="#_x0000_t75" style="width:123.45pt;height:211.3pt" o:ole="">
            <v:imagedata r:id="rId10" o:title=""/>
          </v:shape>
          <o:OLEObject Type="Embed" ProgID="ChemDraw.Document.6.0" ShapeID="_x0000_i1027" DrawAspect="Content" ObjectID="_1730104680" r:id="rId11"/>
        </w:object>
      </w:r>
    </w:p>
    <w:p w14:paraId="0F23B094" w14:textId="4B89730E" w:rsidR="00494578" w:rsidRPr="00C45CD6" w:rsidRDefault="00494578" w:rsidP="00494578">
      <w:pPr>
        <w:spacing w:after="0" w:line="480" w:lineRule="auto"/>
        <w:jc w:val="both"/>
        <w:rPr>
          <w:rFonts w:ascii="Times New Roman" w:hAnsi="Times New Roman" w:cs="Times New Roman"/>
          <w:bCs/>
        </w:rPr>
      </w:pPr>
      <w:r>
        <w:rPr>
          <w:rFonts w:ascii="Times New Roman" w:hAnsi="Times New Roman" w:cs="Times New Roman"/>
          <w:bCs/>
        </w:rPr>
        <w:t>(</w:t>
      </w:r>
      <w:r w:rsidRPr="00C45CD6">
        <w:rPr>
          <w:rFonts w:ascii="Times New Roman" w:hAnsi="Times New Roman" w:cs="Times New Roman"/>
          <w:bCs/>
        </w:rPr>
        <w:t xml:space="preserve">d) Light, electrochemical (and chemical) oxidation and reduction, pH, molecular recognition (charged and neutral guests), solvent and heat (entropy shuttles) have all been used as stimuli to induce co-conformational change in molecular shuttles, by a combination of raising/lowering of wells/barriers on the potential energy </w:t>
      </w:r>
      <w:r w:rsidRPr="00C45CD6">
        <w:rPr>
          <w:rFonts w:ascii="Times New Roman" w:hAnsi="Times New Roman" w:cs="Times New Roman"/>
          <w:bCs/>
        </w:rPr>
        <w:lastRenderedPageBreak/>
        <w:t xml:space="preserve">landscape. The change in co-conformational bias can be characterised spectroscopically; </w:t>
      </w:r>
      <w:r w:rsidRPr="00C45CD6">
        <w:rPr>
          <w:rFonts w:ascii="Times New Roman" w:hAnsi="Times New Roman" w:cs="Times New Roman"/>
          <w:bCs/>
          <w:i/>
        </w:rPr>
        <w:t>via</w:t>
      </w:r>
      <w:r w:rsidRPr="00C45CD6">
        <w:rPr>
          <w:rFonts w:ascii="Times New Roman" w:hAnsi="Times New Roman" w:cs="Times New Roman"/>
          <w:bCs/>
        </w:rPr>
        <w:t xml:space="preserve"> a perturbation to IR, UV-Vis-NIR absorption or fluorescence emission spectrum (</w:t>
      </w:r>
      <w:proofErr w:type="gramStart"/>
      <w:r w:rsidRPr="00C45CD6">
        <w:rPr>
          <w:rFonts w:ascii="Times New Roman" w:hAnsi="Times New Roman" w:cs="Times New Roman"/>
          <w:bCs/>
        </w:rPr>
        <w:t>e.g.</w:t>
      </w:r>
      <w:proofErr w:type="gramEnd"/>
      <w:r w:rsidRPr="00C45CD6">
        <w:rPr>
          <w:rFonts w:ascii="Times New Roman" w:hAnsi="Times New Roman" w:cs="Times New Roman"/>
          <w:bCs/>
        </w:rPr>
        <w:t xml:space="preserve"> change in intensity or wavelength) or NMR spectroscopy, particularly for </w:t>
      </w:r>
      <w:r w:rsidRPr="00C45CD6">
        <w:rPr>
          <w:rFonts w:ascii="Times New Roman" w:hAnsi="Times New Roman" w:cs="Times New Roman"/>
          <w:bCs/>
          <w:vertAlign w:val="superscript"/>
        </w:rPr>
        <w:t>1</w:t>
      </w:r>
      <w:r w:rsidRPr="00C45CD6">
        <w:rPr>
          <w:rFonts w:ascii="Times New Roman" w:hAnsi="Times New Roman" w:cs="Times New Roman"/>
          <w:bCs/>
        </w:rPr>
        <w:t xml:space="preserve">H NMR where the nuclei of protons are particularly sensitive to the shielding/de-shielding effects from a proximal macrocyclic ring. A common experiment to quantify the proportion of macrocycles occupying each station uses the proton integration ratios of </w:t>
      </w:r>
      <w:r w:rsidRPr="00C45CD6">
        <w:rPr>
          <w:rFonts w:ascii="Times New Roman" w:hAnsi="Times New Roman" w:cs="Times New Roman"/>
          <w:bCs/>
          <w:vertAlign w:val="superscript"/>
        </w:rPr>
        <w:t>1</w:t>
      </w:r>
      <w:r w:rsidRPr="00C45CD6">
        <w:rPr>
          <w:rFonts w:ascii="Times New Roman" w:hAnsi="Times New Roman" w:cs="Times New Roman"/>
          <w:bCs/>
        </w:rPr>
        <w:t xml:space="preserve">H NMR peaks for each co-conformation. To do so requires the kinetics of station exchange to be slower than the timescale of the NMR experiment, hence the sample must often be cooled down. </w:t>
      </w:r>
    </w:p>
    <w:p w14:paraId="6739DA15" w14:textId="1A305715" w:rsidR="00494578" w:rsidRPr="00C45CD6" w:rsidRDefault="00494578" w:rsidP="00494578">
      <w:pPr>
        <w:spacing w:after="0" w:line="480" w:lineRule="auto"/>
        <w:jc w:val="both"/>
        <w:rPr>
          <w:rFonts w:ascii="Times New Roman" w:hAnsi="Times New Roman" w:cs="Times New Roman"/>
          <w:bCs/>
        </w:rPr>
      </w:pPr>
      <w:r>
        <w:rPr>
          <w:rFonts w:ascii="Times New Roman" w:hAnsi="Times New Roman" w:cs="Times New Roman"/>
          <w:bCs/>
        </w:rPr>
        <w:t>(</w:t>
      </w:r>
      <w:r w:rsidRPr="00C45CD6">
        <w:rPr>
          <w:rFonts w:ascii="Times New Roman" w:hAnsi="Times New Roman" w:cs="Times New Roman"/>
          <w:bCs/>
        </w:rPr>
        <w:t xml:space="preserve">e) To convert a molecular switch into a molecular motor requires the use of kinetic barriers that the macrocycle cannot pass over, essentially compartmentalising it on the axle component. This allows it to be trapped at stations that are not the lowest in energy on the potential energy landscape, a process known as ratcheting. The removal of the kinetic barrier allows the macrocycle to re-establish its equilibrium position, moving down the potential energy hill and performing work in the form of unidirectional molecular </w:t>
      </w:r>
      <w:proofErr w:type="gramStart"/>
      <w:r w:rsidRPr="00C45CD6">
        <w:rPr>
          <w:rFonts w:ascii="Times New Roman" w:hAnsi="Times New Roman" w:cs="Times New Roman"/>
          <w:bCs/>
        </w:rPr>
        <w:t>motion;</w:t>
      </w:r>
      <w:proofErr w:type="gramEnd"/>
      <w:r w:rsidRPr="00C45CD6">
        <w:rPr>
          <w:rFonts w:ascii="Times New Roman" w:hAnsi="Times New Roman" w:cs="Times New Roman"/>
          <w:bCs/>
        </w:rPr>
        <w:t xml:space="preserve"> the hallmark of a molecular motor.  </w:t>
      </w:r>
    </w:p>
    <w:p w14:paraId="317039F0" w14:textId="77777777" w:rsidR="00494578" w:rsidRPr="00C45CD6" w:rsidRDefault="00494578" w:rsidP="00494578">
      <w:pPr>
        <w:rPr>
          <w:rFonts w:ascii="Times New Roman" w:hAnsi="Times New Roman" w:cs="Times New Roman"/>
        </w:rPr>
      </w:pPr>
    </w:p>
    <w:p w14:paraId="396B6BA7" w14:textId="77777777" w:rsidR="00494578" w:rsidRPr="00331086" w:rsidRDefault="00494578" w:rsidP="00494578">
      <w:pPr>
        <w:spacing w:line="480" w:lineRule="auto"/>
        <w:jc w:val="both"/>
        <w:rPr>
          <w:rFonts w:ascii="Times New Roman" w:hAnsi="Times New Roman" w:cs="Times New Roman"/>
          <w:sz w:val="24"/>
          <w:szCs w:val="24"/>
          <w:u w:val="single"/>
          <w:lang w:val="en-US"/>
        </w:rPr>
      </w:pPr>
    </w:p>
    <w:p w14:paraId="690DB9BC" w14:textId="77777777" w:rsidR="00494578" w:rsidRDefault="00494578" w:rsidP="00494578">
      <w:pPr>
        <w:spacing w:line="480" w:lineRule="auto"/>
        <w:jc w:val="both"/>
        <w:rPr>
          <w:rFonts w:ascii="Times New Roman" w:hAnsi="Times New Roman" w:cs="Times New Roman"/>
          <w:b/>
          <w:bCs/>
          <w:sz w:val="24"/>
          <w:szCs w:val="24"/>
        </w:rPr>
      </w:pPr>
    </w:p>
    <w:p w14:paraId="4E9B59DB" w14:textId="77777777" w:rsidR="00494578" w:rsidRPr="00440A9B" w:rsidRDefault="00494578" w:rsidP="00494578">
      <w:pPr>
        <w:rPr>
          <w:u w:val="single"/>
        </w:rPr>
      </w:pPr>
    </w:p>
    <w:p w14:paraId="554B5A24" w14:textId="77777777" w:rsidR="0079427F" w:rsidRDefault="0079427F"/>
    <w:sectPr w:rsidR="007942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93493" w14:textId="77777777" w:rsidR="00494578" w:rsidRDefault="00494578" w:rsidP="00494578">
      <w:pPr>
        <w:spacing w:after="0" w:line="240" w:lineRule="auto"/>
      </w:pPr>
      <w:r>
        <w:separator/>
      </w:r>
    </w:p>
  </w:endnote>
  <w:endnote w:type="continuationSeparator" w:id="0">
    <w:p w14:paraId="79A944FF" w14:textId="77777777" w:rsidR="00494578" w:rsidRDefault="00494578" w:rsidP="0049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DCAA" w14:textId="77777777" w:rsidR="00494578" w:rsidRDefault="00494578" w:rsidP="00494578">
      <w:pPr>
        <w:spacing w:after="0" w:line="240" w:lineRule="auto"/>
      </w:pPr>
      <w:r>
        <w:separator/>
      </w:r>
    </w:p>
  </w:footnote>
  <w:footnote w:type="continuationSeparator" w:id="0">
    <w:p w14:paraId="4BE77FF7" w14:textId="77777777" w:rsidR="00494578" w:rsidRDefault="00494578" w:rsidP="004945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78"/>
    <w:rsid w:val="0047047D"/>
    <w:rsid w:val="00494578"/>
    <w:rsid w:val="004A1918"/>
    <w:rsid w:val="004E2F21"/>
    <w:rsid w:val="006856F9"/>
    <w:rsid w:val="0079427F"/>
    <w:rsid w:val="00814E0D"/>
    <w:rsid w:val="00847E9C"/>
    <w:rsid w:val="00A8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DB471"/>
  <w15:chartTrackingRefBased/>
  <w15:docId w15:val="{A1D03547-F9B7-4047-B7C4-7D155792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57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887</Words>
  <Characters>4704</Characters>
  <Application>Microsoft Office Word</Application>
  <DocSecurity>0</DocSecurity>
  <Lines>75</Lines>
  <Paragraphs>22</Paragraphs>
  <ScaleCrop>false</ScaleCrop>
  <Company>Oxford University Press</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Bajo Gutiérrez</dc:creator>
  <cp:keywords/>
  <dc:description/>
  <cp:lastModifiedBy>Maria Bajo Gutiérrez</cp:lastModifiedBy>
  <cp:revision>1</cp:revision>
  <dcterms:created xsi:type="dcterms:W3CDTF">2022-11-16T11:44:00Z</dcterms:created>
  <dcterms:modified xsi:type="dcterms:W3CDTF">2022-11-16T11:51:00Z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2022-11-16T11:44:07Z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87898ee4-0f0e-465e-adda-d7a2287278b8</vt:lpwstr>
  </property>
  <property fmtid="{D5CDD505-2E9C-101B-9397-08002B2CF9AE}" pid="8" name="MSIP_Label_be5cb09a-2992-49d6-8ac9-5f63e7b1ad2f_ContentBits">
    <vt:lpwstr>0</vt:lpwstr>
  </property>
  <property fmtid="{D5CDD505-2E9C-101B-9397-08002B2CF9AE}" pid="9" name="GrammarlyDocumentId">
    <vt:lpwstr>cb6a894a-423d-4d75-b5f4-ed3e3cc27176</vt:lpwstr>
  </property>
</Properties>
</file>