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847B" w14:textId="462AF8EC" w:rsidR="003A2EFA" w:rsidRPr="000116E7" w:rsidRDefault="00980C8C" w:rsidP="000116E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proofErr w:type="spellStart"/>
      <w:r w:rsidRPr="000116E7">
        <w:rPr>
          <w:rFonts w:ascii="Arial" w:hAnsi="Arial" w:cs="Arial"/>
          <w:b/>
          <w:bCs/>
        </w:rPr>
        <w:t>Fajans</w:t>
      </w:r>
      <w:proofErr w:type="spellEnd"/>
      <w:r w:rsidR="00597587">
        <w:rPr>
          <w:rFonts w:ascii="Arial" w:hAnsi="Arial" w:cs="Arial"/>
          <w:b/>
          <w:bCs/>
        </w:rPr>
        <w:t>’</w:t>
      </w:r>
      <w:r w:rsidRPr="000116E7">
        <w:rPr>
          <w:rFonts w:ascii="Arial" w:hAnsi="Arial" w:cs="Arial"/>
          <w:b/>
          <w:bCs/>
        </w:rPr>
        <w:t xml:space="preserve"> Rules</w:t>
      </w:r>
      <w:r w:rsidR="00597587">
        <w:rPr>
          <w:rFonts w:ascii="Arial" w:hAnsi="Arial" w:cs="Arial"/>
          <w:b/>
          <w:bCs/>
        </w:rPr>
        <w:t xml:space="preserve"> and Polarizability</w:t>
      </w:r>
    </w:p>
    <w:p w14:paraId="739360AF" w14:textId="3840F385" w:rsidR="009234E8" w:rsidRPr="00E15808" w:rsidRDefault="00597587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Section 4.5 in Chapter 4, we introduced the van </w:t>
      </w:r>
      <w:proofErr w:type="spellStart"/>
      <w:r>
        <w:rPr>
          <w:rFonts w:ascii="Arial" w:hAnsi="Arial" w:cs="Arial"/>
          <w:sz w:val="20"/>
          <w:szCs w:val="20"/>
        </w:rPr>
        <w:t>Arkel-Ketelaar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E0019">
        <w:rPr>
          <w:rFonts w:ascii="Arial" w:hAnsi="Arial" w:cs="Arial"/>
          <w:sz w:val="20"/>
          <w:szCs w:val="20"/>
        </w:rPr>
        <w:t xml:space="preserve">or element </w:t>
      </w:r>
      <w:r>
        <w:rPr>
          <w:rFonts w:ascii="Arial" w:hAnsi="Arial" w:cs="Arial"/>
          <w:sz w:val="20"/>
          <w:szCs w:val="20"/>
        </w:rPr>
        <w:t xml:space="preserve">triangle as a means of </w:t>
      </w:r>
      <w:r w:rsidR="00E15808">
        <w:rPr>
          <w:rFonts w:ascii="Arial" w:hAnsi="Arial" w:cs="Arial"/>
          <w:sz w:val="20"/>
          <w:szCs w:val="20"/>
        </w:rPr>
        <w:t>understanding</w:t>
      </w:r>
      <w:r>
        <w:rPr>
          <w:rFonts w:ascii="Arial" w:hAnsi="Arial" w:cs="Arial"/>
          <w:sz w:val="20"/>
          <w:szCs w:val="20"/>
        </w:rPr>
        <w:t xml:space="preserve"> the </w:t>
      </w:r>
      <w:r w:rsidR="00071323">
        <w:rPr>
          <w:rFonts w:ascii="Arial" w:hAnsi="Arial" w:cs="Arial"/>
          <w:sz w:val="20"/>
          <w:szCs w:val="20"/>
        </w:rPr>
        <w:t xml:space="preserve">varied </w:t>
      </w:r>
      <w:r>
        <w:rPr>
          <w:rFonts w:ascii="Arial" w:hAnsi="Arial" w:cs="Arial"/>
          <w:sz w:val="20"/>
          <w:szCs w:val="20"/>
        </w:rPr>
        <w:t>properties of s- and p-block element compounds based on electronegativity differences</w:t>
      </w:r>
      <w:r w:rsidR="00E15808">
        <w:rPr>
          <w:rFonts w:ascii="Arial" w:hAnsi="Arial" w:cs="Arial"/>
          <w:sz w:val="20"/>
          <w:szCs w:val="20"/>
        </w:rPr>
        <w:t xml:space="preserve">, </w:t>
      </w:r>
      <w:r w:rsidR="00E15808" w:rsidRPr="00E15808">
        <w:rPr>
          <w:rFonts w:ascii="Symbol" w:hAnsi="Symbol" w:cs="Arial"/>
          <w:sz w:val="20"/>
          <w:szCs w:val="20"/>
        </w:rPr>
        <w:t>Dc</w:t>
      </w:r>
      <w:r w:rsidR="00E15808">
        <w:rPr>
          <w:rFonts w:ascii="Arial" w:hAnsi="Arial" w:cs="Arial"/>
          <w:sz w:val="20"/>
          <w:szCs w:val="20"/>
        </w:rPr>
        <w:t xml:space="preserve">. Thus, compounds where </w:t>
      </w:r>
      <w:r w:rsidR="00E15808" w:rsidRPr="00E15808">
        <w:rPr>
          <w:rFonts w:ascii="Symbol" w:hAnsi="Symbol" w:cs="Arial"/>
          <w:sz w:val="20"/>
          <w:szCs w:val="20"/>
        </w:rPr>
        <w:t>Dc</w:t>
      </w:r>
      <w:r w:rsidR="00E15808" w:rsidRPr="00E15808">
        <w:rPr>
          <w:rFonts w:ascii="Arial" w:hAnsi="Arial" w:cs="Arial"/>
          <w:sz w:val="20"/>
          <w:szCs w:val="20"/>
        </w:rPr>
        <w:t xml:space="preserve"> </w:t>
      </w:r>
      <w:r w:rsidR="00E15808">
        <w:rPr>
          <w:rFonts w:ascii="Arial" w:hAnsi="Arial" w:cs="Arial"/>
          <w:sz w:val="20"/>
          <w:szCs w:val="20"/>
        </w:rPr>
        <w:t>is large exhibit ionic bonding (</w:t>
      </w:r>
      <w:proofErr w:type="gramStart"/>
      <w:r w:rsidR="00E15808">
        <w:rPr>
          <w:rFonts w:ascii="Arial" w:hAnsi="Arial" w:cs="Arial"/>
          <w:sz w:val="20"/>
          <w:szCs w:val="20"/>
        </w:rPr>
        <w:t>e.g.</w:t>
      </w:r>
      <w:proofErr w:type="gramEnd"/>
      <w:r w:rsidR="00E158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5808">
        <w:rPr>
          <w:rFonts w:ascii="Arial" w:hAnsi="Arial" w:cs="Arial"/>
          <w:sz w:val="20"/>
          <w:szCs w:val="20"/>
        </w:rPr>
        <w:t>NaF</w:t>
      </w:r>
      <w:proofErr w:type="spellEnd"/>
      <w:r w:rsidR="00E15808">
        <w:rPr>
          <w:rFonts w:ascii="Arial" w:hAnsi="Arial" w:cs="Arial"/>
          <w:sz w:val="20"/>
          <w:szCs w:val="20"/>
        </w:rPr>
        <w:t xml:space="preserve">) whereas for those compounds where </w:t>
      </w:r>
      <w:r w:rsidR="00E15808" w:rsidRPr="00E15808">
        <w:rPr>
          <w:rFonts w:ascii="Symbol" w:hAnsi="Symbol" w:cs="Arial"/>
          <w:sz w:val="20"/>
          <w:szCs w:val="20"/>
        </w:rPr>
        <w:t>Dc</w:t>
      </w:r>
      <w:r w:rsidR="00E15808">
        <w:rPr>
          <w:rFonts w:ascii="Arial" w:hAnsi="Arial" w:cs="Arial"/>
          <w:sz w:val="20"/>
          <w:szCs w:val="20"/>
        </w:rPr>
        <w:t xml:space="preserve"> is zero o</w:t>
      </w:r>
      <w:r w:rsidR="00071323">
        <w:rPr>
          <w:rFonts w:ascii="Arial" w:hAnsi="Arial" w:cs="Arial"/>
          <w:sz w:val="20"/>
          <w:szCs w:val="20"/>
        </w:rPr>
        <w:t>r</w:t>
      </w:r>
      <w:r w:rsidR="00E15808">
        <w:rPr>
          <w:rFonts w:ascii="Arial" w:hAnsi="Arial" w:cs="Arial"/>
          <w:sz w:val="20"/>
          <w:szCs w:val="20"/>
        </w:rPr>
        <w:t xml:space="preserve"> small</w:t>
      </w:r>
      <w:r w:rsidR="00AB7D69">
        <w:rPr>
          <w:rFonts w:ascii="Arial" w:hAnsi="Arial" w:cs="Arial"/>
          <w:sz w:val="20"/>
          <w:szCs w:val="20"/>
        </w:rPr>
        <w:t>,</w:t>
      </w:r>
      <w:r w:rsidR="00E15808">
        <w:rPr>
          <w:rFonts w:ascii="Arial" w:hAnsi="Arial" w:cs="Arial"/>
          <w:sz w:val="20"/>
          <w:szCs w:val="20"/>
        </w:rPr>
        <w:t xml:space="preserve"> we </w:t>
      </w:r>
      <w:r w:rsidR="00071323">
        <w:rPr>
          <w:rFonts w:ascii="Arial" w:hAnsi="Arial" w:cs="Arial"/>
          <w:sz w:val="20"/>
          <w:szCs w:val="20"/>
        </w:rPr>
        <w:t>are in the realm of</w:t>
      </w:r>
      <w:r w:rsidR="00E15808">
        <w:rPr>
          <w:rFonts w:ascii="Arial" w:hAnsi="Arial" w:cs="Arial"/>
          <w:sz w:val="20"/>
          <w:szCs w:val="20"/>
        </w:rPr>
        <w:t xml:space="preserve"> covalent bonding</w:t>
      </w:r>
      <w:r w:rsidR="0029415D">
        <w:rPr>
          <w:rFonts w:ascii="Arial" w:hAnsi="Arial" w:cs="Arial"/>
          <w:sz w:val="20"/>
          <w:szCs w:val="20"/>
        </w:rPr>
        <w:t xml:space="preserve">, specifically </w:t>
      </w:r>
      <w:r w:rsidR="00E15808">
        <w:rPr>
          <w:rFonts w:ascii="Arial" w:hAnsi="Arial" w:cs="Arial"/>
          <w:sz w:val="20"/>
          <w:szCs w:val="20"/>
        </w:rPr>
        <w:t xml:space="preserve">metallic bonding where the absolute value of </w:t>
      </w:r>
      <w:r w:rsidR="00E15808" w:rsidRPr="00E15808">
        <w:rPr>
          <w:rFonts w:ascii="Symbol" w:hAnsi="Symbol" w:cs="Arial"/>
          <w:sz w:val="20"/>
          <w:szCs w:val="20"/>
        </w:rPr>
        <w:t>c</w:t>
      </w:r>
      <w:r w:rsidR="00E15808">
        <w:rPr>
          <w:rFonts w:ascii="Arial" w:hAnsi="Arial" w:cs="Arial"/>
          <w:sz w:val="20"/>
          <w:szCs w:val="20"/>
        </w:rPr>
        <w:t xml:space="preserve"> is low </w:t>
      </w:r>
      <w:r w:rsidR="00C62DEC">
        <w:rPr>
          <w:rFonts w:ascii="Arial" w:hAnsi="Arial" w:cs="Arial"/>
          <w:sz w:val="20"/>
          <w:szCs w:val="20"/>
        </w:rPr>
        <w:t xml:space="preserve">(e.g. Na) </w:t>
      </w:r>
      <w:r w:rsidR="00E15808">
        <w:rPr>
          <w:rFonts w:ascii="Arial" w:hAnsi="Arial" w:cs="Arial"/>
          <w:sz w:val="20"/>
          <w:szCs w:val="20"/>
        </w:rPr>
        <w:t xml:space="preserve">and more directional covalent bonding where </w:t>
      </w:r>
      <w:r w:rsidR="00E15808" w:rsidRPr="00E15808">
        <w:rPr>
          <w:rFonts w:ascii="Symbol" w:hAnsi="Symbol" w:cs="Arial"/>
          <w:sz w:val="20"/>
          <w:szCs w:val="20"/>
        </w:rPr>
        <w:t>c</w:t>
      </w:r>
      <w:r w:rsidR="00E15808">
        <w:rPr>
          <w:rFonts w:ascii="Arial" w:hAnsi="Arial" w:cs="Arial"/>
          <w:sz w:val="20"/>
          <w:szCs w:val="20"/>
        </w:rPr>
        <w:t xml:space="preserve"> is large</w:t>
      </w:r>
      <w:r w:rsidR="001E0019">
        <w:rPr>
          <w:rFonts w:ascii="Arial" w:hAnsi="Arial" w:cs="Arial"/>
          <w:sz w:val="20"/>
          <w:szCs w:val="20"/>
        </w:rPr>
        <w:t xml:space="preserve"> </w:t>
      </w:r>
      <w:r w:rsidR="00C62DEC">
        <w:rPr>
          <w:rFonts w:ascii="Arial" w:hAnsi="Arial" w:cs="Arial"/>
          <w:sz w:val="20"/>
          <w:szCs w:val="20"/>
        </w:rPr>
        <w:t>(e.g.</w:t>
      </w:r>
      <w:r w:rsidR="001E0019">
        <w:rPr>
          <w:rFonts w:ascii="Arial" w:hAnsi="Arial" w:cs="Arial"/>
          <w:sz w:val="20"/>
          <w:szCs w:val="20"/>
        </w:rPr>
        <w:t xml:space="preserve"> F</w:t>
      </w:r>
      <w:r w:rsidR="001E0019" w:rsidRPr="001E0019">
        <w:rPr>
          <w:rFonts w:ascii="Arial" w:hAnsi="Arial" w:cs="Arial"/>
          <w:sz w:val="20"/>
          <w:szCs w:val="20"/>
          <w:vertAlign w:val="subscript"/>
        </w:rPr>
        <w:t>2</w:t>
      </w:r>
      <w:r w:rsidR="00C62DEC">
        <w:rPr>
          <w:rFonts w:ascii="Arial" w:hAnsi="Arial" w:cs="Arial"/>
          <w:sz w:val="20"/>
          <w:szCs w:val="20"/>
        </w:rPr>
        <w:t>).</w:t>
      </w:r>
      <w:r w:rsidR="001E0019">
        <w:rPr>
          <w:rFonts w:ascii="Arial" w:hAnsi="Arial" w:cs="Arial"/>
          <w:sz w:val="20"/>
          <w:szCs w:val="20"/>
        </w:rPr>
        <w:t xml:space="preserve"> </w:t>
      </w:r>
      <w:r w:rsidR="00E15808">
        <w:rPr>
          <w:rFonts w:ascii="Arial" w:hAnsi="Arial" w:cs="Arial"/>
          <w:sz w:val="20"/>
          <w:szCs w:val="20"/>
        </w:rPr>
        <w:t xml:space="preserve">For compounds with a medium </w:t>
      </w:r>
      <w:r w:rsidR="00E15808" w:rsidRPr="00E15808">
        <w:rPr>
          <w:rFonts w:ascii="Symbol" w:hAnsi="Symbol" w:cs="Arial"/>
          <w:sz w:val="20"/>
          <w:szCs w:val="20"/>
        </w:rPr>
        <w:t>Dc</w:t>
      </w:r>
      <w:r w:rsidR="00E15808">
        <w:rPr>
          <w:rFonts w:ascii="Arial" w:hAnsi="Arial" w:cs="Arial"/>
          <w:sz w:val="20"/>
          <w:szCs w:val="20"/>
        </w:rPr>
        <w:t>, polar covalent bonding is observed</w:t>
      </w:r>
      <w:r w:rsidR="00071323">
        <w:rPr>
          <w:rFonts w:ascii="Arial" w:hAnsi="Arial" w:cs="Arial"/>
          <w:sz w:val="20"/>
          <w:szCs w:val="20"/>
        </w:rPr>
        <w:t xml:space="preserve"> which often results in polymeric structures such as in GeF</w:t>
      </w:r>
      <w:r w:rsidR="00071323" w:rsidRPr="00071323">
        <w:rPr>
          <w:rFonts w:ascii="Arial" w:hAnsi="Arial" w:cs="Arial"/>
          <w:sz w:val="20"/>
          <w:szCs w:val="20"/>
          <w:vertAlign w:val="subscript"/>
        </w:rPr>
        <w:t>2</w:t>
      </w:r>
      <w:r w:rsidR="00E15808">
        <w:rPr>
          <w:rFonts w:ascii="Arial" w:hAnsi="Arial" w:cs="Arial"/>
          <w:sz w:val="20"/>
          <w:szCs w:val="20"/>
        </w:rPr>
        <w:t xml:space="preserve">. Numerous examples were </w:t>
      </w:r>
      <w:r w:rsidR="00071323">
        <w:rPr>
          <w:rFonts w:ascii="Arial" w:hAnsi="Arial" w:cs="Arial"/>
          <w:sz w:val="20"/>
          <w:szCs w:val="20"/>
        </w:rPr>
        <w:t xml:space="preserve">presented and </w:t>
      </w:r>
      <w:r w:rsidR="000D5DA0">
        <w:rPr>
          <w:rFonts w:ascii="Arial" w:hAnsi="Arial" w:cs="Arial"/>
          <w:sz w:val="20"/>
          <w:szCs w:val="20"/>
        </w:rPr>
        <w:t>described</w:t>
      </w:r>
      <w:r w:rsidR="00E15808">
        <w:rPr>
          <w:rFonts w:ascii="Arial" w:hAnsi="Arial" w:cs="Arial"/>
          <w:sz w:val="20"/>
          <w:szCs w:val="20"/>
        </w:rPr>
        <w:t xml:space="preserve"> for </w:t>
      </w:r>
      <w:r w:rsidR="000D5DA0">
        <w:rPr>
          <w:rFonts w:ascii="Arial" w:hAnsi="Arial" w:cs="Arial"/>
          <w:sz w:val="20"/>
          <w:szCs w:val="20"/>
        </w:rPr>
        <w:t xml:space="preserve">element </w:t>
      </w:r>
      <w:r w:rsidR="00E15808">
        <w:rPr>
          <w:rFonts w:ascii="Arial" w:hAnsi="Arial" w:cs="Arial"/>
          <w:sz w:val="20"/>
          <w:szCs w:val="20"/>
        </w:rPr>
        <w:t xml:space="preserve">halides, oxides and hydrides in Chapter 5. </w:t>
      </w:r>
    </w:p>
    <w:p w14:paraId="60ACC9FE" w14:textId="58EDC4CC" w:rsidR="00E15808" w:rsidRDefault="0082225C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Covalent and ionic bonding represent extremes on a bonding continuum, equal or largely equal sharing in the former and </w:t>
      </w:r>
      <w:r w:rsidR="002A1D1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transfer of electrons from one atom to another to form cations and anions in the latter. In a polar covalent bond, electrons are shared but not equally; the more electronegative element has the larger share of the bonding electron density.</w:t>
      </w:r>
    </w:p>
    <w:p w14:paraId="488D34A7" w14:textId="20D1BB68" w:rsidR="0082225C" w:rsidRDefault="0082225C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approach to </w:t>
      </w:r>
      <w:r w:rsidR="00220404">
        <w:rPr>
          <w:rFonts w:ascii="Arial" w:hAnsi="Arial" w:cs="Arial"/>
          <w:sz w:val="20"/>
          <w:szCs w:val="20"/>
        </w:rPr>
        <w:t>bonding based on electronegativity differences owes much to Linus Pauling and is the approach we</w:t>
      </w:r>
      <w:r w:rsidR="009C57D6">
        <w:rPr>
          <w:rFonts w:ascii="Arial" w:hAnsi="Arial" w:cs="Arial"/>
          <w:sz w:val="20"/>
          <w:szCs w:val="20"/>
        </w:rPr>
        <w:t xml:space="preserve"> ha</w:t>
      </w:r>
      <w:r w:rsidR="00220404">
        <w:rPr>
          <w:rFonts w:ascii="Arial" w:hAnsi="Arial" w:cs="Arial"/>
          <w:sz w:val="20"/>
          <w:szCs w:val="20"/>
        </w:rPr>
        <w:t xml:space="preserve">ve adopted to rationalise the properties of </w:t>
      </w:r>
      <w:r w:rsidR="006073F2">
        <w:rPr>
          <w:rFonts w:ascii="Arial" w:hAnsi="Arial" w:cs="Arial"/>
          <w:sz w:val="20"/>
          <w:szCs w:val="20"/>
        </w:rPr>
        <w:t>the</w:t>
      </w:r>
      <w:r w:rsidR="006E3C73">
        <w:rPr>
          <w:rFonts w:ascii="Arial" w:hAnsi="Arial" w:cs="Arial"/>
          <w:sz w:val="20"/>
          <w:szCs w:val="20"/>
        </w:rPr>
        <w:t xml:space="preserve"> classes of </w:t>
      </w:r>
      <w:r w:rsidR="00220404">
        <w:rPr>
          <w:rFonts w:ascii="Arial" w:hAnsi="Arial" w:cs="Arial"/>
          <w:sz w:val="20"/>
          <w:szCs w:val="20"/>
        </w:rPr>
        <w:t>compound</w:t>
      </w:r>
      <w:r w:rsidR="006073F2">
        <w:rPr>
          <w:rFonts w:ascii="Arial" w:hAnsi="Arial" w:cs="Arial"/>
          <w:sz w:val="20"/>
          <w:szCs w:val="20"/>
        </w:rPr>
        <w:t xml:space="preserve"> we examined in Chapter 5</w:t>
      </w:r>
      <w:r w:rsidR="00220404">
        <w:rPr>
          <w:rFonts w:ascii="Arial" w:hAnsi="Arial" w:cs="Arial"/>
          <w:sz w:val="20"/>
          <w:szCs w:val="20"/>
        </w:rPr>
        <w:t xml:space="preserve">, </w:t>
      </w:r>
      <w:r w:rsidR="00794A58">
        <w:rPr>
          <w:rFonts w:ascii="Arial" w:hAnsi="Arial" w:cs="Arial"/>
          <w:sz w:val="20"/>
          <w:szCs w:val="20"/>
        </w:rPr>
        <w:t>principally</w:t>
      </w:r>
      <w:r w:rsidR="00220404">
        <w:rPr>
          <w:rFonts w:ascii="Arial" w:hAnsi="Arial" w:cs="Arial"/>
          <w:sz w:val="20"/>
          <w:szCs w:val="20"/>
        </w:rPr>
        <w:t xml:space="preserve"> structure but </w:t>
      </w:r>
      <w:r w:rsidR="00794A58">
        <w:rPr>
          <w:rFonts w:ascii="Arial" w:hAnsi="Arial" w:cs="Arial"/>
          <w:sz w:val="20"/>
          <w:szCs w:val="20"/>
        </w:rPr>
        <w:t>including</w:t>
      </w:r>
      <w:r w:rsidR="00220404">
        <w:rPr>
          <w:rFonts w:ascii="Arial" w:hAnsi="Arial" w:cs="Arial"/>
          <w:sz w:val="20"/>
          <w:szCs w:val="20"/>
        </w:rPr>
        <w:t xml:space="preserve"> reactivity</w:t>
      </w:r>
      <w:r w:rsidR="006E3C73">
        <w:rPr>
          <w:rFonts w:ascii="Arial" w:hAnsi="Arial" w:cs="Arial"/>
          <w:sz w:val="20"/>
          <w:szCs w:val="20"/>
        </w:rPr>
        <w:t xml:space="preserve"> and certain physical characteristics</w:t>
      </w:r>
      <w:r w:rsidR="00220404">
        <w:rPr>
          <w:rFonts w:ascii="Arial" w:hAnsi="Arial" w:cs="Arial"/>
          <w:sz w:val="20"/>
          <w:szCs w:val="20"/>
        </w:rPr>
        <w:t xml:space="preserve">. </w:t>
      </w:r>
      <w:r w:rsidR="00536797">
        <w:rPr>
          <w:rFonts w:ascii="Arial" w:hAnsi="Arial" w:cs="Arial"/>
          <w:sz w:val="20"/>
          <w:szCs w:val="20"/>
        </w:rPr>
        <w:t>Thus, w</w:t>
      </w:r>
      <w:r w:rsidR="002A1D16">
        <w:rPr>
          <w:rFonts w:ascii="Arial" w:hAnsi="Arial" w:cs="Arial"/>
          <w:sz w:val="20"/>
          <w:szCs w:val="20"/>
        </w:rPr>
        <w:t xml:space="preserve">e can think of starting </w:t>
      </w:r>
      <w:r w:rsidR="006E3C73">
        <w:rPr>
          <w:rFonts w:ascii="Arial" w:hAnsi="Arial" w:cs="Arial"/>
          <w:sz w:val="20"/>
          <w:szCs w:val="20"/>
        </w:rPr>
        <w:t>with</w:t>
      </w:r>
      <w:r w:rsidR="002A1D16">
        <w:rPr>
          <w:rFonts w:ascii="Arial" w:hAnsi="Arial" w:cs="Arial"/>
          <w:sz w:val="20"/>
          <w:szCs w:val="20"/>
        </w:rPr>
        <w:t xml:space="preserve"> a covalent bond </w:t>
      </w:r>
      <w:r w:rsidR="00536797">
        <w:rPr>
          <w:rFonts w:ascii="Arial" w:hAnsi="Arial" w:cs="Arial"/>
          <w:sz w:val="20"/>
          <w:szCs w:val="20"/>
        </w:rPr>
        <w:t xml:space="preserve">A–B </w:t>
      </w:r>
      <w:r w:rsidR="002A1D16">
        <w:rPr>
          <w:rFonts w:ascii="Arial" w:hAnsi="Arial" w:cs="Arial"/>
          <w:sz w:val="20"/>
          <w:szCs w:val="20"/>
        </w:rPr>
        <w:t xml:space="preserve">which is increasingly polarized as </w:t>
      </w:r>
      <w:r w:rsidR="002A1D16" w:rsidRPr="00E15808">
        <w:rPr>
          <w:rFonts w:ascii="Symbol" w:hAnsi="Symbol" w:cs="Arial"/>
          <w:sz w:val="20"/>
          <w:szCs w:val="20"/>
        </w:rPr>
        <w:t>Dc</w:t>
      </w:r>
      <w:r w:rsidR="002A1D16">
        <w:rPr>
          <w:rFonts w:ascii="Arial" w:hAnsi="Arial" w:cs="Arial"/>
          <w:sz w:val="20"/>
          <w:szCs w:val="20"/>
        </w:rPr>
        <w:t xml:space="preserve"> </w:t>
      </w:r>
      <w:r w:rsidR="00536797">
        <w:rPr>
          <w:rFonts w:ascii="Arial" w:hAnsi="Arial" w:cs="Arial"/>
          <w:sz w:val="20"/>
          <w:szCs w:val="20"/>
        </w:rPr>
        <w:t xml:space="preserve">between A and B </w:t>
      </w:r>
      <w:r w:rsidR="002A1D16">
        <w:rPr>
          <w:rFonts w:ascii="Arial" w:hAnsi="Arial" w:cs="Arial"/>
          <w:sz w:val="20"/>
          <w:szCs w:val="20"/>
        </w:rPr>
        <w:t xml:space="preserve">increases until </w:t>
      </w:r>
      <w:r w:rsidR="006E3C73">
        <w:rPr>
          <w:rFonts w:ascii="Arial" w:hAnsi="Arial" w:cs="Arial"/>
          <w:sz w:val="20"/>
          <w:szCs w:val="20"/>
        </w:rPr>
        <w:t>the situation</w:t>
      </w:r>
      <w:r w:rsidR="002A1D16">
        <w:rPr>
          <w:rFonts w:ascii="Arial" w:hAnsi="Arial" w:cs="Arial"/>
          <w:sz w:val="20"/>
          <w:szCs w:val="20"/>
        </w:rPr>
        <w:t xml:space="preserve"> is best described as ionic</w:t>
      </w:r>
      <w:r w:rsidR="00536797">
        <w:rPr>
          <w:rFonts w:ascii="Arial" w:hAnsi="Arial" w:cs="Arial"/>
          <w:sz w:val="20"/>
          <w:szCs w:val="20"/>
        </w:rPr>
        <w:t xml:space="preserve"> with polar covalent </w:t>
      </w:r>
      <w:r w:rsidR="00071323">
        <w:rPr>
          <w:rFonts w:ascii="Arial" w:hAnsi="Arial" w:cs="Arial"/>
          <w:sz w:val="20"/>
          <w:szCs w:val="20"/>
        </w:rPr>
        <w:t>bonding in between</w:t>
      </w:r>
      <w:r w:rsidR="002A1D16">
        <w:rPr>
          <w:rFonts w:ascii="Arial" w:hAnsi="Arial" w:cs="Arial"/>
          <w:sz w:val="20"/>
          <w:szCs w:val="20"/>
        </w:rPr>
        <w:t xml:space="preserve">. </w:t>
      </w:r>
      <w:r w:rsidR="00794A58">
        <w:rPr>
          <w:rFonts w:ascii="Arial" w:hAnsi="Arial" w:cs="Arial"/>
          <w:sz w:val="20"/>
          <w:szCs w:val="20"/>
        </w:rPr>
        <w:t>H</w:t>
      </w:r>
      <w:r w:rsidR="00536797">
        <w:rPr>
          <w:rFonts w:ascii="Arial" w:hAnsi="Arial" w:cs="Arial"/>
          <w:sz w:val="20"/>
          <w:szCs w:val="20"/>
        </w:rPr>
        <w:t xml:space="preserve">owever, </w:t>
      </w:r>
      <w:r w:rsidR="00794A58">
        <w:rPr>
          <w:rFonts w:ascii="Arial" w:hAnsi="Arial" w:cs="Arial"/>
          <w:sz w:val="20"/>
          <w:szCs w:val="20"/>
        </w:rPr>
        <w:t xml:space="preserve">we may also start by </w:t>
      </w:r>
      <w:r w:rsidR="00536797">
        <w:rPr>
          <w:rFonts w:ascii="Arial" w:hAnsi="Arial" w:cs="Arial"/>
          <w:sz w:val="20"/>
          <w:szCs w:val="20"/>
        </w:rPr>
        <w:t>consider</w:t>
      </w:r>
      <w:r w:rsidR="00794A58">
        <w:rPr>
          <w:rFonts w:ascii="Arial" w:hAnsi="Arial" w:cs="Arial"/>
          <w:sz w:val="20"/>
          <w:szCs w:val="20"/>
        </w:rPr>
        <w:t>ing</w:t>
      </w:r>
      <w:r w:rsidR="00536797">
        <w:rPr>
          <w:rFonts w:ascii="Arial" w:hAnsi="Arial" w:cs="Arial"/>
          <w:sz w:val="20"/>
          <w:szCs w:val="20"/>
        </w:rPr>
        <w:t xml:space="preserve"> a compound AB to be ionic, i.e. A</w:t>
      </w:r>
      <w:r w:rsidR="00536797" w:rsidRPr="00140362">
        <w:rPr>
          <w:rFonts w:ascii="Arial" w:hAnsi="Arial" w:cs="Arial"/>
          <w:sz w:val="20"/>
          <w:szCs w:val="20"/>
          <w:vertAlign w:val="superscript"/>
        </w:rPr>
        <w:t>+</w:t>
      </w:r>
      <w:r w:rsidR="00536797">
        <w:rPr>
          <w:rFonts w:ascii="Arial" w:hAnsi="Arial" w:cs="Arial"/>
          <w:sz w:val="20"/>
          <w:szCs w:val="20"/>
        </w:rPr>
        <w:t>B</w:t>
      </w:r>
      <w:r w:rsidR="00536797" w:rsidRPr="00140362">
        <w:rPr>
          <w:rFonts w:ascii="Arial" w:hAnsi="Arial" w:cs="Arial"/>
          <w:sz w:val="20"/>
          <w:szCs w:val="20"/>
          <w:vertAlign w:val="superscript"/>
        </w:rPr>
        <w:t>–</w:t>
      </w:r>
      <w:r w:rsidR="00536797">
        <w:rPr>
          <w:rFonts w:ascii="Arial" w:hAnsi="Arial" w:cs="Arial"/>
          <w:sz w:val="20"/>
          <w:szCs w:val="20"/>
        </w:rPr>
        <w:t xml:space="preserve"> in the simplest case, and then examine the extent to which any covalency is present according to how much electron density is attracted from the B</w:t>
      </w:r>
      <w:r w:rsidR="00536797" w:rsidRPr="00140362">
        <w:rPr>
          <w:rFonts w:ascii="Arial" w:hAnsi="Arial" w:cs="Arial"/>
          <w:sz w:val="20"/>
          <w:szCs w:val="20"/>
          <w:vertAlign w:val="superscript"/>
        </w:rPr>
        <w:t>–</w:t>
      </w:r>
      <w:r w:rsidR="00536797">
        <w:rPr>
          <w:rFonts w:ascii="Arial" w:hAnsi="Arial" w:cs="Arial"/>
          <w:sz w:val="20"/>
          <w:szCs w:val="20"/>
        </w:rPr>
        <w:t xml:space="preserve"> anion to the A</w:t>
      </w:r>
      <w:r w:rsidR="00536797" w:rsidRPr="00140362">
        <w:rPr>
          <w:rFonts w:ascii="Arial" w:hAnsi="Arial" w:cs="Arial"/>
          <w:sz w:val="20"/>
          <w:szCs w:val="20"/>
          <w:vertAlign w:val="superscript"/>
        </w:rPr>
        <w:t>+</w:t>
      </w:r>
      <w:r w:rsidR="00536797">
        <w:rPr>
          <w:rFonts w:ascii="Arial" w:hAnsi="Arial" w:cs="Arial"/>
          <w:sz w:val="20"/>
          <w:szCs w:val="20"/>
        </w:rPr>
        <w:t xml:space="preserve"> cation, that is, the extent to which the cation polarizes the anion. P</w:t>
      </w:r>
      <w:r w:rsidR="00220404">
        <w:rPr>
          <w:rFonts w:ascii="Arial" w:hAnsi="Arial" w:cs="Arial"/>
          <w:sz w:val="20"/>
          <w:szCs w:val="20"/>
        </w:rPr>
        <w:t xml:space="preserve">olarization and polarizability </w:t>
      </w:r>
      <w:r w:rsidR="00536797">
        <w:rPr>
          <w:rFonts w:ascii="Arial" w:hAnsi="Arial" w:cs="Arial"/>
          <w:sz w:val="20"/>
          <w:szCs w:val="20"/>
        </w:rPr>
        <w:t>are</w:t>
      </w:r>
      <w:r w:rsidR="00220404">
        <w:rPr>
          <w:rFonts w:ascii="Arial" w:hAnsi="Arial" w:cs="Arial"/>
          <w:sz w:val="20"/>
          <w:szCs w:val="20"/>
        </w:rPr>
        <w:t xml:space="preserve"> briefly </w:t>
      </w:r>
      <w:r w:rsidR="002A1D16">
        <w:rPr>
          <w:rFonts w:ascii="Arial" w:hAnsi="Arial" w:cs="Arial"/>
          <w:sz w:val="20"/>
          <w:szCs w:val="20"/>
        </w:rPr>
        <w:t>mentioned</w:t>
      </w:r>
      <w:r w:rsidR="00220404">
        <w:rPr>
          <w:rFonts w:ascii="Arial" w:hAnsi="Arial" w:cs="Arial"/>
          <w:sz w:val="20"/>
          <w:szCs w:val="20"/>
        </w:rPr>
        <w:t xml:space="preserve"> in the marginal note on page 84</w:t>
      </w:r>
      <w:r w:rsidR="00140362">
        <w:rPr>
          <w:rFonts w:ascii="Arial" w:hAnsi="Arial" w:cs="Arial"/>
          <w:sz w:val="20"/>
          <w:szCs w:val="20"/>
        </w:rPr>
        <w:t>,</w:t>
      </w:r>
      <w:r w:rsidR="00220404">
        <w:rPr>
          <w:rFonts w:ascii="Arial" w:hAnsi="Arial" w:cs="Arial"/>
          <w:sz w:val="20"/>
          <w:szCs w:val="20"/>
        </w:rPr>
        <w:t xml:space="preserve"> but we’ll </w:t>
      </w:r>
      <w:r w:rsidR="00536797">
        <w:rPr>
          <w:rFonts w:ascii="Arial" w:hAnsi="Arial" w:cs="Arial"/>
          <w:sz w:val="20"/>
          <w:szCs w:val="20"/>
        </w:rPr>
        <w:t xml:space="preserve">consider </w:t>
      </w:r>
      <w:r w:rsidR="00691ADB">
        <w:rPr>
          <w:rFonts w:ascii="Arial" w:hAnsi="Arial" w:cs="Arial"/>
          <w:sz w:val="20"/>
          <w:szCs w:val="20"/>
        </w:rPr>
        <w:t>what they mean</w:t>
      </w:r>
      <w:r w:rsidR="00220404">
        <w:rPr>
          <w:rFonts w:ascii="Arial" w:hAnsi="Arial" w:cs="Arial"/>
          <w:sz w:val="20"/>
          <w:szCs w:val="20"/>
        </w:rPr>
        <w:t xml:space="preserve"> in more detail</w:t>
      </w:r>
      <w:r w:rsidR="00691ADB" w:rsidRPr="00691ADB">
        <w:rPr>
          <w:rFonts w:ascii="Arial" w:hAnsi="Arial" w:cs="Arial"/>
          <w:sz w:val="20"/>
          <w:szCs w:val="20"/>
        </w:rPr>
        <w:t xml:space="preserve"> </w:t>
      </w:r>
      <w:r w:rsidR="00691ADB">
        <w:rPr>
          <w:rFonts w:ascii="Arial" w:hAnsi="Arial" w:cs="Arial"/>
          <w:sz w:val="20"/>
          <w:szCs w:val="20"/>
        </w:rPr>
        <w:t>here</w:t>
      </w:r>
      <w:r w:rsidR="00220404">
        <w:rPr>
          <w:rFonts w:ascii="Arial" w:hAnsi="Arial" w:cs="Arial"/>
          <w:sz w:val="20"/>
          <w:szCs w:val="20"/>
        </w:rPr>
        <w:t>.</w:t>
      </w:r>
    </w:p>
    <w:p w14:paraId="0CA20866" w14:textId="11DC77A6" w:rsidR="00140362" w:rsidRDefault="00536797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140362">
        <w:rPr>
          <w:rFonts w:ascii="Arial" w:hAnsi="Arial" w:cs="Arial"/>
          <w:sz w:val="20"/>
          <w:szCs w:val="20"/>
        </w:rPr>
        <w:t xml:space="preserve"> approach </w:t>
      </w:r>
      <w:r>
        <w:rPr>
          <w:rFonts w:ascii="Arial" w:hAnsi="Arial" w:cs="Arial"/>
          <w:sz w:val="20"/>
          <w:szCs w:val="20"/>
        </w:rPr>
        <w:t xml:space="preserve">where we start from an ionic bond </w:t>
      </w:r>
      <w:r w:rsidR="003E307B">
        <w:rPr>
          <w:rFonts w:ascii="Arial" w:hAnsi="Arial" w:cs="Arial"/>
          <w:sz w:val="20"/>
          <w:szCs w:val="20"/>
        </w:rPr>
        <w:t xml:space="preserve">and consider </w:t>
      </w:r>
      <w:r w:rsidR="006073F2">
        <w:rPr>
          <w:rFonts w:ascii="Arial" w:hAnsi="Arial" w:cs="Arial"/>
          <w:sz w:val="20"/>
          <w:szCs w:val="20"/>
        </w:rPr>
        <w:t>to what</w:t>
      </w:r>
      <w:r w:rsidR="003E307B">
        <w:rPr>
          <w:rFonts w:ascii="Arial" w:hAnsi="Arial" w:cs="Arial"/>
          <w:sz w:val="20"/>
          <w:szCs w:val="20"/>
        </w:rPr>
        <w:t xml:space="preserve"> extent a cation polarizes an anion </w:t>
      </w:r>
      <w:r w:rsidR="00140362">
        <w:rPr>
          <w:rFonts w:ascii="Arial" w:hAnsi="Arial" w:cs="Arial"/>
          <w:sz w:val="20"/>
          <w:szCs w:val="20"/>
        </w:rPr>
        <w:t xml:space="preserve">was described in some detail by </w:t>
      </w:r>
      <w:proofErr w:type="spellStart"/>
      <w:r w:rsidR="00140362">
        <w:rPr>
          <w:rFonts w:ascii="Arial" w:hAnsi="Arial" w:cs="Arial"/>
          <w:sz w:val="20"/>
          <w:szCs w:val="20"/>
        </w:rPr>
        <w:t>Kasimir</w:t>
      </w:r>
      <w:proofErr w:type="spellEnd"/>
      <w:r w:rsidR="00140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362">
        <w:rPr>
          <w:rFonts w:ascii="Arial" w:hAnsi="Arial" w:cs="Arial"/>
          <w:sz w:val="20"/>
          <w:szCs w:val="20"/>
        </w:rPr>
        <w:t>Fajans</w:t>
      </w:r>
      <w:proofErr w:type="spellEnd"/>
      <w:r w:rsidR="00140362">
        <w:rPr>
          <w:rFonts w:ascii="Arial" w:hAnsi="Arial" w:cs="Arial"/>
          <w:sz w:val="20"/>
          <w:szCs w:val="20"/>
        </w:rPr>
        <w:t xml:space="preserve"> who</w:t>
      </w:r>
      <w:r w:rsidR="00A1107D">
        <w:rPr>
          <w:rFonts w:ascii="Arial" w:hAnsi="Arial" w:cs="Arial"/>
          <w:sz w:val="20"/>
          <w:szCs w:val="20"/>
        </w:rPr>
        <w:t>,</w:t>
      </w:r>
      <w:r w:rsidR="00140362">
        <w:rPr>
          <w:rFonts w:ascii="Arial" w:hAnsi="Arial" w:cs="Arial"/>
          <w:sz w:val="20"/>
          <w:szCs w:val="20"/>
        </w:rPr>
        <w:t xml:space="preserve"> </w:t>
      </w:r>
      <w:r w:rsidR="00A1107D">
        <w:rPr>
          <w:rFonts w:ascii="Arial" w:hAnsi="Arial" w:cs="Arial"/>
          <w:sz w:val="20"/>
          <w:szCs w:val="20"/>
        </w:rPr>
        <w:t>in the early 20</w:t>
      </w:r>
      <w:r w:rsidR="00A1107D" w:rsidRPr="00A1107D">
        <w:rPr>
          <w:rFonts w:ascii="Arial" w:hAnsi="Arial" w:cs="Arial"/>
          <w:sz w:val="20"/>
          <w:szCs w:val="20"/>
          <w:vertAlign w:val="superscript"/>
        </w:rPr>
        <w:t>th</w:t>
      </w:r>
      <w:r w:rsidR="00A1107D">
        <w:rPr>
          <w:rFonts w:ascii="Arial" w:hAnsi="Arial" w:cs="Arial"/>
          <w:sz w:val="20"/>
          <w:szCs w:val="20"/>
        </w:rPr>
        <w:t xml:space="preserve"> century, </w:t>
      </w:r>
      <w:r w:rsidR="00140362">
        <w:rPr>
          <w:rFonts w:ascii="Arial" w:hAnsi="Arial" w:cs="Arial"/>
          <w:sz w:val="20"/>
          <w:szCs w:val="20"/>
        </w:rPr>
        <w:t>developed a set of rules which now bear his name.</w:t>
      </w:r>
      <w:r>
        <w:rPr>
          <w:rFonts w:ascii="Arial" w:hAnsi="Arial" w:cs="Arial"/>
          <w:sz w:val="20"/>
          <w:szCs w:val="20"/>
        </w:rPr>
        <w:t xml:space="preserve"> </w:t>
      </w:r>
      <w:r w:rsidR="003E307B">
        <w:rPr>
          <w:rFonts w:ascii="Arial" w:hAnsi="Arial" w:cs="Arial"/>
          <w:sz w:val="20"/>
          <w:szCs w:val="20"/>
        </w:rPr>
        <w:t xml:space="preserve">Specifically, </w:t>
      </w:r>
      <w:proofErr w:type="spellStart"/>
      <w:r w:rsidR="003E307B">
        <w:rPr>
          <w:rFonts w:ascii="Arial" w:hAnsi="Arial" w:cs="Arial"/>
          <w:sz w:val="20"/>
          <w:szCs w:val="20"/>
        </w:rPr>
        <w:t>F</w:t>
      </w:r>
      <w:r w:rsidR="001E38C2">
        <w:rPr>
          <w:rFonts w:ascii="Arial" w:hAnsi="Arial" w:cs="Arial"/>
          <w:sz w:val="20"/>
          <w:szCs w:val="20"/>
        </w:rPr>
        <w:t>ajans</w:t>
      </w:r>
      <w:proofErr w:type="spellEnd"/>
      <w:r w:rsidR="001E38C2">
        <w:rPr>
          <w:rFonts w:ascii="Arial" w:hAnsi="Arial" w:cs="Arial"/>
          <w:sz w:val="20"/>
          <w:szCs w:val="20"/>
        </w:rPr>
        <w:t xml:space="preserve"> considered the effect a small, highly charged cation </w:t>
      </w:r>
      <w:r w:rsidR="00035555">
        <w:rPr>
          <w:rFonts w:ascii="Arial" w:hAnsi="Arial" w:cs="Arial"/>
          <w:sz w:val="20"/>
          <w:szCs w:val="20"/>
        </w:rPr>
        <w:t xml:space="preserve">would have </w:t>
      </w:r>
      <w:r w:rsidR="001E38C2">
        <w:rPr>
          <w:rFonts w:ascii="Arial" w:hAnsi="Arial" w:cs="Arial"/>
          <w:sz w:val="20"/>
          <w:szCs w:val="20"/>
        </w:rPr>
        <w:t xml:space="preserve">on an anion, particularly a large highly charged anion and </w:t>
      </w:r>
      <w:r w:rsidR="00342A91">
        <w:rPr>
          <w:rFonts w:ascii="Arial" w:hAnsi="Arial" w:cs="Arial"/>
          <w:sz w:val="20"/>
          <w:szCs w:val="20"/>
        </w:rPr>
        <w:t>the</w:t>
      </w:r>
      <w:r w:rsidR="001E38C2">
        <w:rPr>
          <w:rFonts w:ascii="Arial" w:hAnsi="Arial" w:cs="Arial"/>
          <w:sz w:val="20"/>
          <w:szCs w:val="20"/>
        </w:rPr>
        <w:t xml:space="preserve"> eponymous rules </w:t>
      </w:r>
      <w:r w:rsidR="00334154">
        <w:rPr>
          <w:rFonts w:ascii="Arial" w:hAnsi="Arial" w:cs="Arial"/>
          <w:sz w:val="20"/>
          <w:szCs w:val="20"/>
        </w:rPr>
        <w:t>can be stated as</w:t>
      </w:r>
      <w:r w:rsidR="008175F5">
        <w:rPr>
          <w:rFonts w:ascii="Arial" w:hAnsi="Arial" w:cs="Arial"/>
          <w:sz w:val="20"/>
          <w:szCs w:val="20"/>
        </w:rPr>
        <w:t xml:space="preserve"> set out below.</w:t>
      </w:r>
    </w:p>
    <w:p w14:paraId="69BF94F2" w14:textId="16A5C0FA" w:rsidR="008175F5" w:rsidRPr="00151D74" w:rsidRDefault="00151D74" w:rsidP="00151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151D74">
        <w:rPr>
          <w:rFonts w:ascii="Arial" w:hAnsi="Arial" w:cs="Arial"/>
          <w:sz w:val="20"/>
          <w:szCs w:val="20"/>
        </w:rPr>
        <w:t>Small, highly charged cations will exert a greater polarizing effect on anions than large, singly charged cations.</w:t>
      </w:r>
    </w:p>
    <w:p w14:paraId="6FE8FBD4" w14:textId="352E2BEB" w:rsidR="00151D74" w:rsidRPr="00151D74" w:rsidRDefault="00151D74" w:rsidP="00151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151D74">
        <w:rPr>
          <w:rFonts w:ascii="Arial" w:hAnsi="Arial" w:cs="Arial"/>
          <w:sz w:val="20"/>
          <w:szCs w:val="20"/>
        </w:rPr>
        <w:t>Large, highly charged anions will be more easily polarized than small, singly charged anions.</w:t>
      </w:r>
    </w:p>
    <w:p w14:paraId="2B3D8C6E" w14:textId="384E255C" w:rsidR="008175F5" w:rsidRDefault="00151D74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third rule which relates to the electronic structure of the cation. For example, Hg</w:t>
      </w:r>
      <w:r w:rsidRPr="00151D74"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is more polarizing than Ca</w:t>
      </w:r>
      <w:r w:rsidRPr="00151D74"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even though both ions have the same charge and very similar ionic radii. This difference is </w:t>
      </w:r>
      <w:r w:rsidR="003E307B">
        <w:rPr>
          <w:rFonts w:ascii="Arial" w:hAnsi="Arial" w:cs="Arial"/>
          <w:sz w:val="20"/>
          <w:szCs w:val="20"/>
        </w:rPr>
        <w:t>a consequence of</w:t>
      </w:r>
      <w:r>
        <w:rPr>
          <w:rFonts w:ascii="Arial" w:hAnsi="Arial" w:cs="Arial"/>
          <w:sz w:val="20"/>
          <w:szCs w:val="20"/>
        </w:rPr>
        <w:t xml:space="preserve"> the incomplete shielding of the d electrons in the Hg</w:t>
      </w:r>
      <w:r w:rsidRPr="00151D74"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cation but since this is a text on s- and p-block element chemistry, we’ll not consider this third rule </w:t>
      </w:r>
      <w:r w:rsidR="003E307B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further.</w:t>
      </w:r>
    </w:p>
    <w:p w14:paraId="4B57537E" w14:textId="438A8C1E" w:rsidR="00151D74" w:rsidRDefault="00921836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effect of this polarization </w:t>
      </w:r>
      <w:r w:rsidR="00691ADB">
        <w:rPr>
          <w:rFonts w:ascii="Arial" w:hAnsi="Arial" w:cs="Arial"/>
          <w:sz w:val="20"/>
          <w:szCs w:val="20"/>
        </w:rPr>
        <w:t xml:space="preserve">(or distortion) </w:t>
      </w:r>
      <w:r>
        <w:rPr>
          <w:rFonts w:ascii="Arial" w:hAnsi="Arial" w:cs="Arial"/>
          <w:sz w:val="20"/>
          <w:szCs w:val="20"/>
        </w:rPr>
        <w:t xml:space="preserve">of electron density from </w:t>
      </w:r>
      <w:r w:rsidR="00691AD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anion to</w:t>
      </w:r>
      <w:r w:rsidR="00691ADB">
        <w:rPr>
          <w:rFonts w:ascii="Arial" w:hAnsi="Arial" w:cs="Arial"/>
          <w:sz w:val="20"/>
          <w:szCs w:val="20"/>
        </w:rPr>
        <w:t>wards the</w:t>
      </w:r>
      <w:r>
        <w:rPr>
          <w:rFonts w:ascii="Arial" w:hAnsi="Arial" w:cs="Arial"/>
          <w:sz w:val="20"/>
          <w:szCs w:val="20"/>
        </w:rPr>
        <w:t xml:space="preserve"> cation is therefore to transition from an ionic interaction to a more covalent one where electrons are increasingly shared the more the cation polarizes the anion. Accordingly, </w:t>
      </w:r>
      <w:proofErr w:type="spellStart"/>
      <w:r>
        <w:rPr>
          <w:rFonts w:ascii="Arial" w:hAnsi="Arial" w:cs="Arial"/>
          <w:sz w:val="20"/>
          <w:szCs w:val="20"/>
        </w:rPr>
        <w:t>Fajans</w:t>
      </w:r>
      <w:proofErr w:type="spellEnd"/>
      <w:r>
        <w:rPr>
          <w:rFonts w:ascii="Arial" w:hAnsi="Arial" w:cs="Arial"/>
          <w:sz w:val="20"/>
          <w:szCs w:val="20"/>
        </w:rPr>
        <w:t>’ Rules can also be stated as follows:</w:t>
      </w:r>
    </w:p>
    <w:p w14:paraId="337DF20E" w14:textId="3AE9ADE1" w:rsidR="00334154" w:rsidRPr="00334154" w:rsidRDefault="00334154" w:rsidP="003341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334154">
        <w:rPr>
          <w:rFonts w:ascii="Arial" w:hAnsi="Arial" w:cs="Arial"/>
          <w:sz w:val="20"/>
          <w:szCs w:val="20"/>
        </w:rPr>
        <w:t>For a given anion, covalent character increases with decreasing size of the cation.</w:t>
      </w:r>
    </w:p>
    <w:p w14:paraId="31C071D9" w14:textId="056FFA3A" w:rsidR="00334154" w:rsidRPr="00334154" w:rsidRDefault="00334154" w:rsidP="003341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334154">
        <w:rPr>
          <w:rFonts w:ascii="Arial" w:hAnsi="Arial" w:cs="Arial"/>
          <w:sz w:val="20"/>
          <w:szCs w:val="20"/>
        </w:rPr>
        <w:t>For a given cation, covalent character increases with the size of the anion.</w:t>
      </w:r>
    </w:p>
    <w:p w14:paraId="33DF3C2B" w14:textId="50DEA8CE" w:rsidR="00334154" w:rsidRDefault="00334154" w:rsidP="003341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334154">
        <w:rPr>
          <w:rFonts w:ascii="Arial" w:hAnsi="Arial" w:cs="Arial"/>
          <w:sz w:val="20"/>
          <w:szCs w:val="20"/>
        </w:rPr>
        <w:t>Covalent character increases with increasing charge on either cation or anion or both.</w:t>
      </w:r>
    </w:p>
    <w:p w14:paraId="08FEB8D9" w14:textId="464BBEE4" w:rsidR="009652CB" w:rsidRPr="00334154" w:rsidRDefault="003E307B" w:rsidP="003341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9652CB">
        <w:rPr>
          <w:rFonts w:ascii="Arial" w:hAnsi="Arial" w:cs="Arial"/>
          <w:sz w:val="20"/>
          <w:szCs w:val="20"/>
        </w:rPr>
        <w:t xml:space="preserve"> cation</w:t>
      </w:r>
      <w:r>
        <w:rPr>
          <w:rFonts w:ascii="Arial" w:hAnsi="Arial" w:cs="Arial"/>
          <w:sz w:val="20"/>
          <w:szCs w:val="20"/>
        </w:rPr>
        <w:t>s of</w:t>
      </w:r>
      <w:r w:rsidR="00965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like charge and similar size or ionic radius, </w:t>
      </w:r>
      <w:r w:rsidR="00FD6ED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cation which</w:t>
      </w:r>
      <w:r w:rsidR="009652CB">
        <w:rPr>
          <w:rFonts w:ascii="Arial" w:hAnsi="Arial" w:cs="Arial"/>
          <w:sz w:val="20"/>
          <w:szCs w:val="20"/>
        </w:rPr>
        <w:t xml:space="preserve"> does not have a noble gas configuration </w:t>
      </w:r>
      <w:r>
        <w:rPr>
          <w:rFonts w:ascii="Arial" w:hAnsi="Arial" w:cs="Arial"/>
          <w:sz w:val="20"/>
          <w:szCs w:val="20"/>
        </w:rPr>
        <w:t>is more polarizing</w:t>
      </w:r>
      <w:r w:rsidR="00FD6ED4">
        <w:rPr>
          <w:rFonts w:ascii="Arial" w:hAnsi="Arial" w:cs="Arial"/>
          <w:sz w:val="20"/>
          <w:szCs w:val="20"/>
        </w:rPr>
        <w:t xml:space="preserve"> than one which does</w:t>
      </w:r>
      <w:r>
        <w:rPr>
          <w:rFonts w:ascii="Arial" w:hAnsi="Arial" w:cs="Arial"/>
          <w:sz w:val="20"/>
          <w:szCs w:val="20"/>
        </w:rPr>
        <w:t xml:space="preserve">: this is </w:t>
      </w:r>
      <w:r w:rsidR="009652CB">
        <w:rPr>
          <w:rFonts w:ascii="Arial" w:hAnsi="Arial" w:cs="Arial"/>
          <w:sz w:val="20"/>
          <w:szCs w:val="20"/>
        </w:rPr>
        <w:t>the third rule noted above.</w:t>
      </w:r>
    </w:p>
    <w:p w14:paraId="3B701D7F" w14:textId="16422926" w:rsidR="00AA571D" w:rsidRDefault="00334154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an </w:t>
      </w:r>
      <w:r w:rsidR="003E307B">
        <w:rPr>
          <w:rFonts w:ascii="Arial" w:hAnsi="Arial" w:cs="Arial"/>
          <w:sz w:val="20"/>
          <w:szCs w:val="20"/>
        </w:rPr>
        <w:t>illustration</w:t>
      </w:r>
      <w:r>
        <w:rPr>
          <w:rFonts w:ascii="Arial" w:hAnsi="Arial" w:cs="Arial"/>
          <w:sz w:val="20"/>
          <w:szCs w:val="20"/>
        </w:rPr>
        <w:t xml:space="preserve"> which exemplifies the first two rules above, we might consider </w:t>
      </w:r>
      <w:proofErr w:type="spellStart"/>
      <w:r w:rsidR="00151D74">
        <w:rPr>
          <w:rFonts w:ascii="Arial" w:hAnsi="Arial" w:cs="Arial"/>
          <w:sz w:val="20"/>
          <w:szCs w:val="20"/>
        </w:rPr>
        <w:t>CsF</w:t>
      </w:r>
      <w:proofErr w:type="spellEnd"/>
      <w:r w:rsidR="00151D74">
        <w:rPr>
          <w:rFonts w:ascii="Arial" w:hAnsi="Arial" w:cs="Arial"/>
          <w:sz w:val="20"/>
          <w:szCs w:val="20"/>
        </w:rPr>
        <w:t xml:space="preserve"> </w:t>
      </w:r>
      <w:r w:rsidR="00151D74" w:rsidRPr="00334154">
        <w:rPr>
          <w:rFonts w:ascii="Arial" w:hAnsi="Arial" w:cs="Arial"/>
          <w:i/>
          <w:iCs/>
          <w:sz w:val="20"/>
          <w:szCs w:val="20"/>
        </w:rPr>
        <w:t>vs</w:t>
      </w:r>
      <w:r w:rsidR="00151D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1D74">
        <w:rPr>
          <w:rFonts w:ascii="Arial" w:hAnsi="Arial" w:cs="Arial"/>
          <w:sz w:val="20"/>
          <w:szCs w:val="20"/>
        </w:rPr>
        <w:t>LiI</w:t>
      </w:r>
      <w:proofErr w:type="spellEnd"/>
      <w:r>
        <w:rPr>
          <w:rFonts w:ascii="Arial" w:hAnsi="Arial" w:cs="Arial"/>
          <w:sz w:val="20"/>
          <w:szCs w:val="20"/>
        </w:rPr>
        <w:t>, the former being essentially purely ionic whereas the latter has a considerable degree of covalency. More generally</w:t>
      </w:r>
      <w:r w:rsidR="002D6ADC">
        <w:rPr>
          <w:rFonts w:ascii="Arial" w:hAnsi="Arial" w:cs="Arial"/>
          <w:sz w:val="20"/>
          <w:szCs w:val="20"/>
        </w:rPr>
        <w:t xml:space="preserve">, we can often account for trends in </w:t>
      </w:r>
      <w:r w:rsidR="00FD6ED4">
        <w:rPr>
          <w:rFonts w:ascii="Arial" w:hAnsi="Arial" w:cs="Arial"/>
          <w:sz w:val="20"/>
          <w:szCs w:val="20"/>
        </w:rPr>
        <w:t xml:space="preserve">the </w:t>
      </w:r>
      <w:r w:rsidR="002D6ADC">
        <w:rPr>
          <w:rFonts w:ascii="Arial" w:hAnsi="Arial" w:cs="Arial"/>
          <w:sz w:val="20"/>
          <w:szCs w:val="20"/>
        </w:rPr>
        <w:t xml:space="preserve">properties </w:t>
      </w:r>
      <w:r w:rsidR="00FD6ED4">
        <w:rPr>
          <w:rFonts w:ascii="Arial" w:hAnsi="Arial" w:cs="Arial"/>
          <w:sz w:val="20"/>
          <w:szCs w:val="20"/>
        </w:rPr>
        <w:t xml:space="preserve">of compounds </w:t>
      </w:r>
      <w:r w:rsidR="002D6ADC">
        <w:rPr>
          <w:rFonts w:ascii="Arial" w:hAnsi="Arial" w:cs="Arial"/>
          <w:sz w:val="20"/>
          <w:szCs w:val="20"/>
        </w:rPr>
        <w:t xml:space="preserve">in terms of the extent of polarization (and hence covalency) based on </w:t>
      </w:r>
      <w:proofErr w:type="spellStart"/>
      <w:r w:rsidR="002D6ADC">
        <w:rPr>
          <w:rFonts w:ascii="Arial" w:hAnsi="Arial" w:cs="Arial"/>
          <w:sz w:val="20"/>
          <w:szCs w:val="20"/>
        </w:rPr>
        <w:t>Fajans</w:t>
      </w:r>
      <w:proofErr w:type="spellEnd"/>
      <w:r w:rsidR="002D6ADC">
        <w:rPr>
          <w:rFonts w:ascii="Arial" w:hAnsi="Arial" w:cs="Arial"/>
          <w:sz w:val="20"/>
          <w:szCs w:val="20"/>
        </w:rPr>
        <w:t xml:space="preserve">’ Rules in much the same way as we did </w:t>
      </w:r>
      <w:r w:rsidR="00E12BAA">
        <w:rPr>
          <w:rFonts w:ascii="Arial" w:hAnsi="Arial" w:cs="Arial"/>
          <w:sz w:val="20"/>
          <w:szCs w:val="20"/>
        </w:rPr>
        <w:t>with</w:t>
      </w:r>
      <w:r w:rsidR="002D6ADC">
        <w:rPr>
          <w:rFonts w:ascii="Arial" w:hAnsi="Arial" w:cs="Arial"/>
          <w:sz w:val="20"/>
          <w:szCs w:val="20"/>
        </w:rPr>
        <w:t xml:space="preserve"> electronegativity differences in Chapter 5</w:t>
      </w:r>
      <w:r w:rsidR="00AA571D">
        <w:rPr>
          <w:rFonts w:ascii="Arial" w:hAnsi="Arial" w:cs="Arial"/>
          <w:sz w:val="20"/>
          <w:szCs w:val="20"/>
        </w:rPr>
        <w:t xml:space="preserve"> although it is probably fair to say that electronegativity arguments are more commonly encountered in modern texts.</w:t>
      </w:r>
    </w:p>
    <w:p w14:paraId="5CEAB401" w14:textId="2DCEECB1" w:rsidR="003E307B" w:rsidRDefault="00FD6ED4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should note that i</w:t>
      </w:r>
      <w:r w:rsidR="003E307B">
        <w:rPr>
          <w:rFonts w:ascii="Arial" w:hAnsi="Arial" w:cs="Arial"/>
          <w:sz w:val="20"/>
          <w:szCs w:val="20"/>
        </w:rPr>
        <w:t xml:space="preserve">t is </w:t>
      </w:r>
      <w:r w:rsidR="00AA571D">
        <w:rPr>
          <w:rFonts w:ascii="Arial" w:hAnsi="Arial" w:cs="Arial"/>
          <w:sz w:val="20"/>
          <w:szCs w:val="20"/>
        </w:rPr>
        <w:t xml:space="preserve">also </w:t>
      </w:r>
      <w:r w:rsidR="003E307B">
        <w:rPr>
          <w:rFonts w:ascii="Arial" w:hAnsi="Arial" w:cs="Arial"/>
          <w:sz w:val="20"/>
          <w:szCs w:val="20"/>
        </w:rPr>
        <w:t xml:space="preserve">possible to quantify </w:t>
      </w:r>
      <w:proofErr w:type="spellStart"/>
      <w:r w:rsidR="003E307B">
        <w:rPr>
          <w:rFonts w:ascii="Arial" w:hAnsi="Arial" w:cs="Arial"/>
          <w:sz w:val="20"/>
          <w:szCs w:val="20"/>
        </w:rPr>
        <w:t>Fajans</w:t>
      </w:r>
      <w:proofErr w:type="spellEnd"/>
      <w:r w:rsidR="003E307B">
        <w:rPr>
          <w:rFonts w:ascii="Arial" w:hAnsi="Arial" w:cs="Arial"/>
          <w:sz w:val="20"/>
          <w:szCs w:val="20"/>
        </w:rPr>
        <w:t>’ Rules in terms of the polarizing ability of cations, for example</w:t>
      </w:r>
      <w:r w:rsidR="00E12BAA">
        <w:rPr>
          <w:rFonts w:ascii="Arial" w:hAnsi="Arial" w:cs="Arial"/>
          <w:sz w:val="20"/>
          <w:szCs w:val="20"/>
        </w:rPr>
        <w:t xml:space="preserve">, </w:t>
      </w:r>
      <w:r w:rsidR="003E307B">
        <w:rPr>
          <w:rFonts w:ascii="Arial" w:hAnsi="Arial" w:cs="Arial"/>
          <w:sz w:val="20"/>
          <w:szCs w:val="20"/>
        </w:rPr>
        <w:t>by consider</w:t>
      </w:r>
      <w:r w:rsidR="00E12BAA">
        <w:rPr>
          <w:rFonts w:ascii="Arial" w:hAnsi="Arial" w:cs="Arial"/>
          <w:sz w:val="20"/>
          <w:szCs w:val="20"/>
        </w:rPr>
        <w:t>ing</w:t>
      </w:r>
      <w:r w:rsidR="003E307B">
        <w:rPr>
          <w:rFonts w:ascii="Arial" w:hAnsi="Arial" w:cs="Arial"/>
          <w:sz w:val="20"/>
          <w:szCs w:val="20"/>
        </w:rPr>
        <w:t xml:space="preserve"> the charge (</w:t>
      </w:r>
      <w:r w:rsidR="003E307B" w:rsidRPr="00E12BAA">
        <w:rPr>
          <w:rFonts w:ascii="Arial" w:hAnsi="Arial" w:cs="Arial"/>
          <w:i/>
          <w:iCs/>
          <w:sz w:val="20"/>
          <w:szCs w:val="20"/>
        </w:rPr>
        <w:t>q</w:t>
      </w:r>
      <w:r w:rsidR="003E307B">
        <w:rPr>
          <w:rFonts w:ascii="Arial" w:hAnsi="Arial" w:cs="Arial"/>
          <w:sz w:val="20"/>
          <w:szCs w:val="20"/>
        </w:rPr>
        <w:t xml:space="preserve">) to size (ionic radius, </w:t>
      </w:r>
      <w:r w:rsidR="003E307B" w:rsidRPr="00E12BAA">
        <w:rPr>
          <w:rFonts w:ascii="Arial" w:hAnsi="Arial" w:cs="Arial"/>
          <w:i/>
          <w:iCs/>
          <w:sz w:val="20"/>
          <w:szCs w:val="20"/>
        </w:rPr>
        <w:t>r</w:t>
      </w:r>
      <w:r w:rsidR="003E307B">
        <w:rPr>
          <w:rFonts w:ascii="Arial" w:hAnsi="Arial" w:cs="Arial"/>
          <w:sz w:val="20"/>
          <w:szCs w:val="20"/>
        </w:rPr>
        <w:t>) ra</w:t>
      </w:r>
      <w:r w:rsidR="00E12BAA">
        <w:rPr>
          <w:rFonts w:ascii="Arial" w:hAnsi="Arial" w:cs="Arial"/>
          <w:sz w:val="20"/>
          <w:szCs w:val="20"/>
        </w:rPr>
        <w:t xml:space="preserve">tio </w:t>
      </w:r>
      <w:r w:rsidR="00E12BAA" w:rsidRPr="00E12BAA">
        <w:rPr>
          <w:rFonts w:ascii="Arial" w:hAnsi="Arial" w:cs="Arial"/>
          <w:i/>
          <w:iCs/>
          <w:sz w:val="20"/>
          <w:szCs w:val="20"/>
        </w:rPr>
        <w:t>q</w:t>
      </w:r>
      <w:r w:rsidR="00E12BAA">
        <w:rPr>
          <w:rFonts w:ascii="Arial" w:hAnsi="Arial" w:cs="Arial"/>
          <w:sz w:val="20"/>
          <w:szCs w:val="20"/>
        </w:rPr>
        <w:t>/</w:t>
      </w:r>
      <w:r w:rsidR="00E12BAA" w:rsidRPr="00E12BAA">
        <w:rPr>
          <w:rFonts w:ascii="Arial" w:hAnsi="Arial" w:cs="Arial"/>
          <w:i/>
          <w:iCs/>
          <w:sz w:val="20"/>
          <w:szCs w:val="20"/>
        </w:rPr>
        <w:t>r</w:t>
      </w:r>
      <w:r w:rsidR="00E12BAA">
        <w:rPr>
          <w:rFonts w:ascii="Arial" w:hAnsi="Arial" w:cs="Arial"/>
          <w:sz w:val="20"/>
          <w:szCs w:val="20"/>
        </w:rPr>
        <w:t xml:space="preserve">, the larger the number, the more polarizing the cation. This can be useful when comparing </w:t>
      </w:r>
      <w:r w:rsidR="00691ADB">
        <w:rPr>
          <w:rFonts w:ascii="Arial" w:hAnsi="Arial" w:cs="Arial"/>
          <w:sz w:val="20"/>
          <w:szCs w:val="20"/>
        </w:rPr>
        <w:t xml:space="preserve">different </w:t>
      </w:r>
      <w:r w:rsidR="00E12BAA">
        <w:rPr>
          <w:rFonts w:ascii="Arial" w:hAnsi="Arial" w:cs="Arial"/>
          <w:sz w:val="20"/>
          <w:szCs w:val="20"/>
        </w:rPr>
        <w:t>cations and the properties of their compounds.</w:t>
      </w:r>
    </w:p>
    <w:p w14:paraId="46E4AAA9" w14:textId="395B079A" w:rsidR="002D6ADC" w:rsidRDefault="00E12BAA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Finally, w</w:t>
      </w:r>
      <w:r w:rsidR="002D6ADC">
        <w:rPr>
          <w:rFonts w:ascii="Arial" w:hAnsi="Arial" w:cs="Arial"/>
          <w:sz w:val="20"/>
          <w:szCs w:val="20"/>
        </w:rPr>
        <w:t xml:space="preserve">e should recognise the relationship between polarizability and hard and soft acids and bases </w:t>
      </w:r>
      <w:r w:rsidR="0059463A">
        <w:rPr>
          <w:rFonts w:ascii="Arial" w:hAnsi="Arial" w:cs="Arial"/>
          <w:sz w:val="20"/>
          <w:szCs w:val="20"/>
        </w:rPr>
        <w:t xml:space="preserve">(HSAB) </w:t>
      </w:r>
      <w:r w:rsidR="002D6ADC">
        <w:rPr>
          <w:rFonts w:ascii="Arial" w:hAnsi="Arial" w:cs="Arial"/>
          <w:sz w:val="20"/>
          <w:szCs w:val="20"/>
        </w:rPr>
        <w:t xml:space="preserve">which were considered in Section 6.4 in Chapter 6. Thus, hard acids </w:t>
      </w:r>
      <w:r w:rsidR="00315C1D">
        <w:rPr>
          <w:rFonts w:ascii="Arial" w:hAnsi="Arial" w:cs="Arial"/>
          <w:sz w:val="20"/>
          <w:szCs w:val="20"/>
        </w:rPr>
        <w:t xml:space="preserve">are strongly </w:t>
      </w:r>
      <w:proofErr w:type="gramStart"/>
      <w:r w:rsidR="00315C1D">
        <w:rPr>
          <w:rFonts w:ascii="Arial" w:hAnsi="Arial" w:cs="Arial"/>
          <w:sz w:val="20"/>
          <w:szCs w:val="20"/>
        </w:rPr>
        <w:t>polarizing</w:t>
      </w:r>
      <w:proofErr w:type="gramEnd"/>
      <w:r w:rsidR="00315C1D">
        <w:rPr>
          <w:rFonts w:ascii="Arial" w:hAnsi="Arial" w:cs="Arial"/>
          <w:sz w:val="20"/>
          <w:szCs w:val="20"/>
        </w:rPr>
        <w:t xml:space="preserve"> </w:t>
      </w:r>
      <w:r w:rsidR="002D6ADC">
        <w:rPr>
          <w:rFonts w:ascii="Arial" w:hAnsi="Arial" w:cs="Arial"/>
          <w:sz w:val="20"/>
          <w:szCs w:val="20"/>
        </w:rPr>
        <w:t xml:space="preserve">and hard bases are </w:t>
      </w:r>
      <w:r w:rsidR="00315C1D">
        <w:rPr>
          <w:rFonts w:ascii="Arial" w:hAnsi="Arial" w:cs="Arial"/>
          <w:sz w:val="20"/>
          <w:szCs w:val="20"/>
        </w:rPr>
        <w:t>strongly</w:t>
      </w:r>
      <w:r w:rsidR="002D6ADC">
        <w:rPr>
          <w:rFonts w:ascii="Arial" w:hAnsi="Arial" w:cs="Arial"/>
          <w:sz w:val="20"/>
          <w:szCs w:val="20"/>
        </w:rPr>
        <w:t xml:space="preserve"> resistant to being polarized whilst soft acids are weakly polarizing and </w:t>
      </w:r>
      <w:r w:rsidR="00315C1D">
        <w:rPr>
          <w:rFonts w:ascii="Arial" w:hAnsi="Arial" w:cs="Arial"/>
          <w:sz w:val="20"/>
          <w:szCs w:val="20"/>
        </w:rPr>
        <w:t xml:space="preserve">soft bases are </w:t>
      </w:r>
      <w:r w:rsidR="002D6ADC">
        <w:rPr>
          <w:rFonts w:ascii="Arial" w:hAnsi="Arial" w:cs="Arial"/>
          <w:sz w:val="20"/>
          <w:szCs w:val="20"/>
        </w:rPr>
        <w:t xml:space="preserve">easily polarized. </w:t>
      </w:r>
      <w:r w:rsidR="00AA571D">
        <w:rPr>
          <w:rFonts w:ascii="Arial" w:hAnsi="Arial" w:cs="Arial"/>
          <w:sz w:val="20"/>
          <w:szCs w:val="20"/>
        </w:rPr>
        <w:t>Despite the polarizing power of a hard acid, h</w:t>
      </w:r>
      <w:r w:rsidR="002D6ADC">
        <w:rPr>
          <w:rFonts w:ascii="Arial" w:hAnsi="Arial" w:cs="Arial"/>
          <w:sz w:val="20"/>
          <w:szCs w:val="20"/>
        </w:rPr>
        <w:t xml:space="preserve">ard plus hard favours an ionic interaction </w:t>
      </w:r>
      <w:r w:rsidR="00AA571D">
        <w:rPr>
          <w:rFonts w:ascii="Arial" w:hAnsi="Arial" w:cs="Arial"/>
          <w:sz w:val="20"/>
          <w:szCs w:val="20"/>
        </w:rPr>
        <w:t xml:space="preserve">since the hard anion is not easily polarized and the </w:t>
      </w:r>
      <w:r w:rsidR="00AA645D">
        <w:rPr>
          <w:rFonts w:ascii="Arial" w:hAnsi="Arial" w:cs="Arial"/>
          <w:sz w:val="20"/>
          <w:szCs w:val="20"/>
        </w:rPr>
        <w:t xml:space="preserve">strength of the </w:t>
      </w:r>
      <w:r w:rsidR="00AA571D">
        <w:rPr>
          <w:rFonts w:ascii="Arial" w:hAnsi="Arial" w:cs="Arial"/>
          <w:sz w:val="20"/>
          <w:szCs w:val="20"/>
        </w:rPr>
        <w:t xml:space="preserve">ionic interaction </w:t>
      </w:r>
      <w:r w:rsidR="00AA645D">
        <w:rPr>
          <w:rFonts w:ascii="Arial" w:hAnsi="Arial" w:cs="Arial"/>
          <w:sz w:val="20"/>
          <w:szCs w:val="20"/>
        </w:rPr>
        <w:t>(</w:t>
      </w:r>
      <w:r w:rsidR="00AA571D">
        <w:rPr>
          <w:rFonts w:ascii="Arial" w:hAnsi="Arial" w:cs="Arial"/>
          <w:sz w:val="20"/>
          <w:szCs w:val="20"/>
        </w:rPr>
        <w:t>or lattice energy</w:t>
      </w:r>
      <w:r w:rsidR="00AA645D">
        <w:rPr>
          <w:rFonts w:ascii="Arial" w:hAnsi="Arial" w:cs="Arial"/>
          <w:sz w:val="20"/>
          <w:szCs w:val="20"/>
        </w:rPr>
        <w:t>)</w:t>
      </w:r>
      <w:r w:rsidR="00AA571D">
        <w:rPr>
          <w:rFonts w:ascii="Arial" w:hAnsi="Arial" w:cs="Arial"/>
          <w:sz w:val="20"/>
          <w:szCs w:val="20"/>
        </w:rPr>
        <w:t xml:space="preserve"> is large </w:t>
      </w:r>
      <w:r w:rsidR="009234BD">
        <w:rPr>
          <w:rFonts w:ascii="Arial" w:hAnsi="Arial" w:cs="Arial"/>
          <w:sz w:val="20"/>
          <w:szCs w:val="20"/>
        </w:rPr>
        <w:t>for</w:t>
      </w:r>
      <w:r w:rsidR="00AA571D">
        <w:rPr>
          <w:rFonts w:ascii="Arial" w:hAnsi="Arial" w:cs="Arial"/>
          <w:sz w:val="20"/>
          <w:szCs w:val="20"/>
        </w:rPr>
        <w:t xml:space="preserve"> this </w:t>
      </w:r>
      <w:r w:rsidR="009234BD">
        <w:rPr>
          <w:rFonts w:ascii="Arial" w:hAnsi="Arial" w:cs="Arial"/>
          <w:sz w:val="20"/>
          <w:szCs w:val="20"/>
        </w:rPr>
        <w:t>arrangement</w:t>
      </w:r>
      <w:r w:rsidR="00AA571D">
        <w:rPr>
          <w:rFonts w:ascii="Arial" w:hAnsi="Arial" w:cs="Arial"/>
          <w:sz w:val="20"/>
          <w:szCs w:val="20"/>
        </w:rPr>
        <w:t xml:space="preserve">. Conversely, </w:t>
      </w:r>
      <w:r w:rsidR="002D6ADC">
        <w:rPr>
          <w:rFonts w:ascii="Arial" w:hAnsi="Arial" w:cs="Arial"/>
          <w:sz w:val="20"/>
          <w:szCs w:val="20"/>
        </w:rPr>
        <w:t xml:space="preserve">soft plus soft favours a </w:t>
      </w:r>
      <w:r w:rsidR="00691ADB">
        <w:rPr>
          <w:rFonts w:ascii="Arial" w:hAnsi="Arial" w:cs="Arial"/>
          <w:sz w:val="20"/>
          <w:szCs w:val="20"/>
        </w:rPr>
        <w:t xml:space="preserve">purely </w:t>
      </w:r>
      <w:r w:rsidR="002D6ADC">
        <w:rPr>
          <w:rFonts w:ascii="Arial" w:hAnsi="Arial" w:cs="Arial"/>
          <w:sz w:val="20"/>
          <w:szCs w:val="20"/>
        </w:rPr>
        <w:t>covalent interaction.</w:t>
      </w:r>
      <w:r>
        <w:rPr>
          <w:rFonts w:ascii="Arial" w:hAnsi="Arial" w:cs="Arial"/>
          <w:sz w:val="20"/>
          <w:szCs w:val="20"/>
        </w:rPr>
        <w:t xml:space="preserve"> Although something of an over-</w:t>
      </w:r>
      <w:r>
        <w:rPr>
          <w:rFonts w:ascii="Arial" w:hAnsi="Arial" w:cs="Arial"/>
          <w:sz w:val="20"/>
          <w:szCs w:val="20"/>
        </w:rPr>
        <w:lastRenderedPageBreak/>
        <w:t>simplification</w:t>
      </w:r>
      <w:r w:rsidR="00AA571D">
        <w:rPr>
          <w:rFonts w:ascii="Arial" w:hAnsi="Arial" w:cs="Arial"/>
          <w:sz w:val="20"/>
          <w:szCs w:val="20"/>
        </w:rPr>
        <w:t xml:space="preserve"> which ignores any detail of orbital energies</w:t>
      </w:r>
      <w:r>
        <w:rPr>
          <w:rFonts w:ascii="Arial" w:hAnsi="Arial" w:cs="Arial"/>
          <w:sz w:val="20"/>
          <w:szCs w:val="20"/>
        </w:rPr>
        <w:t>, these statements account</w:t>
      </w:r>
      <w:r w:rsidR="00224B3F">
        <w:rPr>
          <w:rFonts w:ascii="Arial" w:hAnsi="Arial" w:cs="Arial"/>
          <w:sz w:val="20"/>
          <w:szCs w:val="20"/>
        </w:rPr>
        <w:t>, at least in part,</w:t>
      </w:r>
      <w:r>
        <w:rPr>
          <w:rFonts w:ascii="Arial" w:hAnsi="Arial" w:cs="Arial"/>
          <w:sz w:val="20"/>
          <w:szCs w:val="20"/>
        </w:rPr>
        <w:t xml:space="preserve"> for the </w:t>
      </w:r>
      <w:r w:rsidR="00691ADB">
        <w:rPr>
          <w:rFonts w:ascii="Arial" w:hAnsi="Arial" w:cs="Arial"/>
          <w:sz w:val="20"/>
          <w:szCs w:val="20"/>
        </w:rPr>
        <w:t xml:space="preserve">observed </w:t>
      </w:r>
      <w:r>
        <w:rPr>
          <w:rFonts w:ascii="Arial" w:hAnsi="Arial" w:cs="Arial"/>
          <w:sz w:val="20"/>
          <w:szCs w:val="20"/>
        </w:rPr>
        <w:t>preference of hard acids for hard bases and soft acids for soft bases.</w:t>
      </w:r>
    </w:p>
    <w:p w14:paraId="09F7E567" w14:textId="4E100754" w:rsidR="00EA6296" w:rsidRDefault="002D6ADC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useful introduction to </w:t>
      </w:r>
      <w:proofErr w:type="spellStart"/>
      <w:r>
        <w:rPr>
          <w:rFonts w:ascii="Arial" w:hAnsi="Arial" w:cs="Arial"/>
          <w:sz w:val="20"/>
          <w:szCs w:val="20"/>
        </w:rPr>
        <w:t>Fajans</w:t>
      </w:r>
      <w:proofErr w:type="spellEnd"/>
      <w:r>
        <w:rPr>
          <w:rFonts w:ascii="Arial" w:hAnsi="Arial" w:cs="Arial"/>
          <w:sz w:val="20"/>
          <w:szCs w:val="20"/>
        </w:rPr>
        <w:t xml:space="preserve">’ Rules in provided in </w:t>
      </w:r>
      <w:proofErr w:type="spellStart"/>
      <w:r>
        <w:rPr>
          <w:rFonts w:ascii="Arial" w:hAnsi="Arial" w:cs="Arial"/>
          <w:sz w:val="20"/>
          <w:szCs w:val="20"/>
        </w:rPr>
        <w:t>Huheey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Keiter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Keiter</w:t>
      </w:r>
      <w:proofErr w:type="spellEnd"/>
      <w:r w:rsidR="00E12BAA">
        <w:rPr>
          <w:rFonts w:ascii="Arial" w:hAnsi="Arial" w:cs="Arial"/>
          <w:sz w:val="20"/>
          <w:szCs w:val="20"/>
        </w:rPr>
        <w:t xml:space="preserve"> (which also provides some quantitative data)</w:t>
      </w:r>
      <w:r w:rsidRPr="0059463A">
        <w:rPr>
          <w:rFonts w:ascii="Arial" w:hAnsi="Arial" w:cs="Arial"/>
          <w:sz w:val="20"/>
          <w:szCs w:val="20"/>
          <w:vertAlign w:val="superscript"/>
        </w:rPr>
        <w:t>1</w:t>
      </w:r>
      <w:r w:rsidR="0059463A">
        <w:rPr>
          <w:rFonts w:ascii="Arial" w:hAnsi="Arial" w:cs="Arial"/>
          <w:sz w:val="20"/>
          <w:szCs w:val="20"/>
        </w:rPr>
        <w:t xml:space="preserve"> and a more in-depth discussion both of </w:t>
      </w:r>
      <w:proofErr w:type="spellStart"/>
      <w:r w:rsidR="0059463A">
        <w:rPr>
          <w:rFonts w:ascii="Arial" w:hAnsi="Arial" w:cs="Arial"/>
          <w:sz w:val="20"/>
          <w:szCs w:val="20"/>
        </w:rPr>
        <w:t>Fajans</w:t>
      </w:r>
      <w:proofErr w:type="spellEnd"/>
      <w:r w:rsidR="0059463A">
        <w:rPr>
          <w:rFonts w:ascii="Arial" w:hAnsi="Arial" w:cs="Arial"/>
          <w:sz w:val="20"/>
          <w:szCs w:val="20"/>
        </w:rPr>
        <w:t xml:space="preserve">’ Rules and HSAB </w:t>
      </w:r>
      <w:r w:rsidR="00E12BAA">
        <w:rPr>
          <w:rFonts w:ascii="Arial" w:hAnsi="Arial" w:cs="Arial"/>
          <w:sz w:val="20"/>
          <w:szCs w:val="20"/>
        </w:rPr>
        <w:t>together with</w:t>
      </w:r>
      <w:r w:rsidR="0059463A">
        <w:rPr>
          <w:rFonts w:ascii="Arial" w:hAnsi="Arial" w:cs="Arial"/>
          <w:sz w:val="20"/>
          <w:szCs w:val="20"/>
        </w:rPr>
        <w:t xml:space="preserve"> some </w:t>
      </w:r>
      <w:r w:rsidR="009234BD">
        <w:rPr>
          <w:rFonts w:ascii="Arial" w:hAnsi="Arial" w:cs="Arial"/>
          <w:sz w:val="20"/>
          <w:szCs w:val="20"/>
        </w:rPr>
        <w:t xml:space="preserve">other </w:t>
      </w:r>
      <w:r w:rsidR="0059463A">
        <w:rPr>
          <w:rFonts w:ascii="Arial" w:hAnsi="Arial" w:cs="Arial"/>
          <w:sz w:val="20"/>
          <w:szCs w:val="20"/>
        </w:rPr>
        <w:t xml:space="preserve">related quantitative measures in provided in </w:t>
      </w:r>
      <w:proofErr w:type="spellStart"/>
      <w:r w:rsidR="0059463A">
        <w:rPr>
          <w:rFonts w:ascii="Arial" w:hAnsi="Arial" w:cs="Arial"/>
          <w:sz w:val="20"/>
          <w:szCs w:val="20"/>
        </w:rPr>
        <w:t>Miessler</w:t>
      </w:r>
      <w:proofErr w:type="spellEnd"/>
      <w:r w:rsidR="0059463A">
        <w:rPr>
          <w:rFonts w:ascii="Arial" w:hAnsi="Arial" w:cs="Arial"/>
          <w:sz w:val="20"/>
          <w:szCs w:val="20"/>
        </w:rPr>
        <w:t xml:space="preserve"> and Tarr.</w:t>
      </w:r>
      <w:r w:rsidR="0059463A" w:rsidRPr="0059463A">
        <w:rPr>
          <w:rFonts w:ascii="Arial" w:hAnsi="Arial" w:cs="Arial"/>
          <w:sz w:val="20"/>
          <w:szCs w:val="20"/>
          <w:vertAlign w:val="superscript"/>
        </w:rPr>
        <w:t>2</w:t>
      </w:r>
      <w:r w:rsidR="003543F8">
        <w:rPr>
          <w:rFonts w:ascii="Arial" w:hAnsi="Arial" w:cs="Arial"/>
          <w:sz w:val="20"/>
          <w:szCs w:val="20"/>
        </w:rPr>
        <w:t xml:space="preserve"> </w:t>
      </w:r>
      <w:r w:rsidR="00545B3B">
        <w:rPr>
          <w:rFonts w:ascii="Arial" w:hAnsi="Arial" w:cs="Arial"/>
          <w:sz w:val="20"/>
          <w:szCs w:val="20"/>
        </w:rPr>
        <w:t xml:space="preserve">Other texts which deal more briefly with </w:t>
      </w:r>
      <w:proofErr w:type="spellStart"/>
      <w:r w:rsidR="00545B3B">
        <w:rPr>
          <w:rFonts w:ascii="Arial" w:hAnsi="Arial" w:cs="Arial"/>
          <w:sz w:val="20"/>
          <w:szCs w:val="20"/>
        </w:rPr>
        <w:t>Fajans</w:t>
      </w:r>
      <w:proofErr w:type="spellEnd"/>
      <w:r w:rsidR="00545B3B">
        <w:rPr>
          <w:rFonts w:ascii="Arial" w:hAnsi="Arial" w:cs="Arial"/>
          <w:sz w:val="20"/>
          <w:szCs w:val="20"/>
        </w:rPr>
        <w:t>’ Rules are listed below</w:t>
      </w:r>
      <w:r w:rsidR="00E12BAA">
        <w:rPr>
          <w:rFonts w:ascii="Arial" w:hAnsi="Arial" w:cs="Arial"/>
          <w:sz w:val="20"/>
          <w:szCs w:val="20"/>
        </w:rPr>
        <w:t xml:space="preserve"> in refs. </w:t>
      </w:r>
      <w:r w:rsidR="00545B3B">
        <w:rPr>
          <w:rFonts w:ascii="Arial" w:hAnsi="Arial" w:cs="Arial"/>
          <w:sz w:val="20"/>
          <w:szCs w:val="20"/>
        </w:rPr>
        <w:t>3-</w:t>
      </w:r>
      <w:r w:rsidR="00E12BAA">
        <w:rPr>
          <w:rFonts w:ascii="Arial" w:hAnsi="Arial" w:cs="Arial"/>
          <w:sz w:val="20"/>
          <w:szCs w:val="20"/>
        </w:rPr>
        <w:t>5.</w:t>
      </w:r>
    </w:p>
    <w:p w14:paraId="57F5F1FD" w14:textId="10290E8D" w:rsidR="0059346B" w:rsidRPr="00B03F9C" w:rsidRDefault="0059346B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03F9C">
        <w:rPr>
          <w:rFonts w:ascii="Arial" w:hAnsi="Arial" w:cs="Arial"/>
          <w:b/>
          <w:bCs/>
          <w:i/>
          <w:iCs/>
          <w:sz w:val="20"/>
          <w:szCs w:val="20"/>
        </w:rPr>
        <w:t>References</w:t>
      </w:r>
    </w:p>
    <w:p w14:paraId="535B330B" w14:textId="404A31D8" w:rsidR="00EA6296" w:rsidRPr="0059463A" w:rsidRDefault="002D6ADC" w:rsidP="00594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59463A">
        <w:rPr>
          <w:rFonts w:ascii="Arial" w:hAnsi="Arial" w:cs="Arial"/>
          <w:sz w:val="20"/>
          <w:szCs w:val="20"/>
        </w:rPr>
        <w:t>Huheey</w:t>
      </w:r>
      <w:proofErr w:type="spellEnd"/>
      <w:r w:rsidRPr="0059463A">
        <w:rPr>
          <w:rFonts w:ascii="Arial" w:hAnsi="Arial" w:cs="Arial"/>
          <w:sz w:val="20"/>
          <w:szCs w:val="20"/>
        </w:rPr>
        <w:t xml:space="preserve">, J. E., </w:t>
      </w:r>
      <w:proofErr w:type="spellStart"/>
      <w:r w:rsidRPr="0059463A">
        <w:rPr>
          <w:rFonts w:ascii="Arial" w:hAnsi="Arial" w:cs="Arial"/>
          <w:sz w:val="20"/>
          <w:szCs w:val="20"/>
        </w:rPr>
        <w:t>Keiter</w:t>
      </w:r>
      <w:proofErr w:type="spellEnd"/>
      <w:r w:rsidRPr="0059463A">
        <w:rPr>
          <w:rFonts w:ascii="Arial" w:hAnsi="Arial" w:cs="Arial"/>
          <w:sz w:val="20"/>
          <w:szCs w:val="20"/>
        </w:rPr>
        <w:t xml:space="preserve">, E. A., </w:t>
      </w:r>
      <w:proofErr w:type="spellStart"/>
      <w:r w:rsidRPr="0059463A">
        <w:rPr>
          <w:rFonts w:ascii="Arial" w:hAnsi="Arial" w:cs="Arial"/>
          <w:sz w:val="20"/>
          <w:szCs w:val="20"/>
        </w:rPr>
        <w:t>Keiter</w:t>
      </w:r>
      <w:proofErr w:type="spellEnd"/>
      <w:r w:rsidRPr="0059463A">
        <w:rPr>
          <w:rFonts w:ascii="Arial" w:hAnsi="Arial" w:cs="Arial"/>
          <w:sz w:val="20"/>
          <w:szCs w:val="20"/>
        </w:rPr>
        <w:t xml:space="preserve">, </w:t>
      </w:r>
      <w:r w:rsidR="0059463A" w:rsidRPr="0059463A">
        <w:rPr>
          <w:rFonts w:ascii="Arial" w:hAnsi="Arial" w:cs="Arial"/>
          <w:sz w:val="20"/>
          <w:szCs w:val="20"/>
        </w:rPr>
        <w:t xml:space="preserve">R. L. (1993). </w:t>
      </w:r>
      <w:r w:rsidR="0059463A" w:rsidRPr="0059463A">
        <w:rPr>
          <w:rFonts w:ascii="Arial" w:hAnsi="Arial" w:cs="Arial"/>
          <w:i/>
          <w:iCs/>
          <w:sz w:val="20"/>
          <w:szCs w:val="20"/>
        </w:rPr>
        <w:t xml:space="preserve">Inorganic Chemistry: Principles of Structure and Reactivity </w:t>
      </w:r>
      <w:r w:rsidR="0059463A" w:rsidRPr="0059463A">
        <w:rPr>
          <w:rFonts w:ascii="Arial" w:hAnsi="Arial" w:cs="Arial"/>
          <w:sz w:val="20"/>
          <w:szCs w:val="20"/>
        </w:rPr>
        <w:t>(4</w:t>
      </w:r>
      <w:r w:rsidR="0059463A" w:rsidRPr="0059463A">
        <w:rPr>
          <w:rFonts w:ascii="Arial" w:hAnsi="Arial" w:cs="Arial"/>
          <w:sz w:val="20"/>
          <w:szCs w:val="20"/>
          <w:vertAlign w:val="superscript"/>
        </w:rPr>
        <w:t>th</w:t>
      </w:r>
      <w:r w:rsidR="0059463A" w:rsidRPr="005946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463A" w:rsidRPr="0059463A">
        <w:rPr>
          <w:rFonts w:ascii="Arial" w:hAnsi="Arial" w:cs="Arial"/>
          <w:sz w:val="20"/>
          <w:szCs w:val="20"/>
        </w:rPr>
        <w:t>edn</w:t>
      </w:r>
      <w:proofErr w:type="spellEnd"/>
      <w:r w:rsidR="0059463A" w:rsidRPr="0059463A">
        <w:rPr>
          <w:rFonts w:ascii="Arial" w:hAnsi="Arial" w:cs="Arial"/>
          <w:sz w:val="20"/>
          <w:szCs w:val="20"/>
        </w:rPr>
        <w:t>), Harper and Row.</w:t>
      </w:r>
      <w:r w:rsidR="003543F8">
        <w:rPr>
          <w:rFonts w:ascii="Arial" w:hAnsi="Arial" w:cs="Arial"/>
          <w:sz w:val="20"/>
          <w:szCs w:val="20"/>
        </w:rPr>
        <w:t xml:space="preserve"> See pages 129-131.</w:t>
      </w:r>
    </w:p>
    <w:p w14:paraId="0B669423" w14:textId="2A9AF90C" w:rsidR="00096405" w:rsidRDefault="00EA6296" w:rsidP="00594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59463A">
        <w:rPr>
          <w:rFonts w:ascii="Arial" w:hAnsi="Arial" w:cs="Arial"/>
          <w:sz w:val="20"/>
          <w:szCs w:val="20"/>
        </w:rPr>
        <w:t>Miessler</w:t>
      </w:r>
      <w:r w:rsidR="00334154" w:rsidRPr="0059463A">
        <w:rPr>
          <w:rFonts w:ascii="Arial" w:hAnsi="Arial" w:cs="Arial"/>
          <w:sz w:val="20"/>
          <w:szCs w:val="20"/>
        </w:rPr>
        <w:t>, G. L.,</w:t>
      </w:r>
      <w:r w:rsidRPr="00594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463A">
        <w:rPr>
          <w:rFonts w:ascii="Arial" w:hAnsi="Arial" w:cs="Arial"/>
          <w:sz w:val="20"/>
          <w:szCs w:val="20"/>
        </w:rPr>
        <w:t>Tarr</w:t>
      </w:r>
      <w:proofErr w:type="spellEnd"/>
      <w:r w:rsidRPr="0059463A">
        <w:rPr>
          <w:rFonts w:ascii="Arial" w:hAnsi="Arial" w:cs="Arial"/>
          <w:sz w:val="20"/>
          <w:szCs w:val="20"/>
        </w:rPr>
        <w:t>,</w:t>
      </w:r>
      <w:r w:rsidR="00334154" w:rsidRPr="0059463A">
        <w:rPr>
          <w:rFonts w:ascii="Arial" w:hAnsi="Arial" w:cs="Arial"/>
          <w:sz w:val="20"/>
          <w:szCs w:val="20"/>
        </w:rPr>
        <w:t xml:space="preserve"> D. A. (2004).</w:t>
      </w:r>
      <w:r w:rsidRPr="0059463A">
        <w:rPr>
          <w:rFonts w:ascii="Arial" w:hAnsi="Arial" w:cs="Arial"/>
          <w:sz w:val="20"/>
          <w:szCs w:val="20"/>
        </w:rPr>
        <w:t xml:space="preserve"> </w:t>
      </w:r>
      <w:r w:rsidR="00334154" w:rsidRPr="0059463A">
        <w:rPr>
          <w:rFonts w:ascii="Arial" w:hAnsi="Arial" w:cs="Arial"/>
          <w:i/>
          <w:iCs/>
          <w:sz w:val="20"/>
          <w:szCs w:val="20"/>
        </w:rPr>
        <w:t>Inorganic Chemistry</w:t>
      </w:r>
      <w:r w:rsidR="00334154" w:rsidRPr="0059463A">
        <w:rPr>
          <w:rFonts w:ascii="Arial" w:hAnsi="Arial" w:cs="Arial"/>
          <w:sz w:val="20"/>
          <w:szCs w:val="20"/>
        </w:rPr>
        <w:t xml:space="preserve"> (</w:t>
      </w:r>
      <w:r w:rsidRPr="0059463A">
        <w:rPr>
          <w:rFonts w:ascii="Arial" w:hAnsi="Arial" w:cs="Arial"/>
          <w:sz w:val="20"/>
          <w:szCs w:val="20"/>
        </w:rPr>
        <w:t>3</w:t>
      </w:r>
      <w:r w:rsidRPr="0059463A">
        <w:rPr>
          <w:rFonts w:ascii="Arial" w:hAnsi="Arial" w:cs="Arial"/>
          <w:sz w:val="20"/>
          <w:szCs w:val="20"/>
          <w:vertAlign w:val="superscript"/>
        </w:rPr>
        <w:t>rd</w:t>
      </w:r>
      <w:r w:rsidRPr="005946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4154" w:rsidRPr="0059463A">
        <w:rPr>
          <w:rFonts w:ascii="Arial" w:hAnsi="Arial" w:cs="Arial"/>
          <w:sz w:val="20"/>
          <w:szCs w:val="20"/>
        </w:rPr>
        <w:t>edn</w:t>
      </w:r>
      <w:proofErr w:type="spellEnd"/>
      <w:r w:rsidR="00334154" w:rsidRPr="0059463A">
        <w:rPr>
          <w:rFonts w:ascii="Arial" w:hAnsi="Arial" w:cs="Arial"/>
          <w:sz w:val="20"/>
          <w:szCs w:val="20"/>
        </w:rPr>
        <w:t>)</w:t>
      </w:r>
      <w:r w:rsidRPr="0059463A">
        <w:rPr>
          <w:rFonts w:ascii="Arial" w:hAnsi="Arial" w:cs="Arial"/>
          <w:sz w:val="20"/>
          <w:szCs w:val="20"/>
        </w:rPr>
        <w:t>, Pearson.</w:t>
      </w:r>
      <w:r w:rsidR="0059463A" w:rsidRPr="0059463A">
        <w:rPr>
          <w:rFonts w:ascii="Arial" w:hAnsi="Arial" w:cs="Arial"/>
          <w:sz w:val="20"/>
          <w:szCs w:val="20"/>
        </w:rPr>
        <w:t xml:space="preserve"> </w:t>
      </w:r>
      <w:r w:rsidR="003543F8">
        <w:rPr>
          <w:rFonts w:ascii="Arial" w:hAnsi="Arial" w:cs="Arial"/>
          <w:sz w:val="20"/>
          <w:szCs w:val="20"/>
        </w:rPr>
        <w:t>See pages 181-192.</w:t>
      </w:r>
    </w:p>
    <w:p w14:paraId="165115F5" w14:textId="62DE9DFA" w:rsidR="00545B3B" w:rsidRDefault="00545B3B" w:rsidP="00594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545B3B">
        <w:rPr>
          <w:rFonts w:ascii="Arial" w:hAnsi="Arial" w:cs="Arial"/>
          <w:sz w:val="20"/>
          <w:szCs w:val="20"/>
        </w:rPr>
        <w:t>Weller, M. T., Overton, T. L., Rourke, J. P., Armstrong, F. A. (2018).</w:t>
      </w:r>
      <w:r>
        <w:rPr>
          <w:rFonts w:ascii="Arial" w:hAnsi="Arial" w:cs="Arial"/>
          <w:sz w:val="20"/>
          <w:szCs w:val="20"/>
        </w:rPr>
        <w:t xml:space="preserve"> </w:t>
      </w:r>
      <w:r w:rsidRPr="00545B3B">
        <w:rPr>
          <w:rFonts w:ascii="Arial" w:hAnsi="Arial" w:cs="Arial"/>
          <w:i/>
          <w:iCs/>
          <w:sz w:val="20"/>
          <w:szCs w:val="20"/>
        </w:rPr>
        <w:t>Inorganic Chemistry</w:t>
      </w:r>
      <w:r w:rsidRPr="00545B3B">
        <w:rPr>
          <w:rFonts w:ascii="Arial" w:hAnsi="Arial" w:cs="Arial"/>
          <w:sz w:val="20"/>
          <w:szCs w:val="20"/>
        </w:rPr>
        <w:t xml:space="preserve"> (7</w:t>
      </w:r>
      <w:r w:rsidRPr="00545B3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5B3B">
        <w:rPr>
          <w:rFonts w:ascii="Arial" w:hAnsi="Arial" w:cs="Arial"/>
          <w:sz w:val="20"/>
          <w:szCs w:val="20"/>
        </w:rPr>
        <w:t>edn</w:t>
      </w:r>
      <w:proofErr w:type="spellEnd"/>
      <w:r w:rsidRPr="00545B3B">
        <w:rPr>
          <w:rFonts w:ascii="Arial" w:hAnsi="Arial" w:cs="Arial"/>
          <w:sz w:val="20"/>
          <w:szCs w:val="20"/>
        </w:rPr>
        <w:t>), Oxford University Press.</w:t>
      </w:r>
      <w:r>
        <w:rPr>
          <w:rFonts w:ascii="Arial" w:hAnsi="Arial" w:cs="Arial"/>
          <w:sz w:val="20"/>
          <w:szCs w:val="20"/>
        </w:rPr>
        <w:t xml:space="preserve"> See pages 32-33.</w:t>
      </w:r>
    </w:p>
    <w:p w14:paraId="2C442F4A" w14:textId="20A539D0" w:rsidR="00545B3B" w:rsidRDefault="00545B3B" w:rsidP="00594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Douglas, B. E., McDaniel, D. H., Alexander, J. J. (1994). </w:t>
      </w:r>
      <w:r w:rsidRPr="00545B3B">
        <w:rPr>
          <w:rFonts w:ascii="Arial" w:hAnsi="Arial" w:cs="Arial"/>
          <w:i/>
          <w:iCs/>
          <w:sz w:val="20"/>
          <w:szCs w:val="20"/>
        </w:rPr>
        <w:t>Concepts and Models of Inorganic Chemistry</w:t>
      </w:r>
      <w:r>
        <w:rPr>
          <w:rFonts w:ascii="Arial" w:hAnsi="Arial" w:cs="Arial"/>
          <w:sz w:val="20"/>
          <w:szCs w:val="20"/>
        </w:rPr>
        <w:t xml:space="preserve"> (3</w:t>
      </w:r>
      <w:r w:rsidRPr="00545B3B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edn</w:t>
      </w:r>
      <w:proofErr w:type="spellEnd"/>
      <w:r>
        <w:rPr>
          <w:rFonts w:ascii="Arial" w:hAnsi="Arial" w:cs="Arial"/>
          <w:sz w:val="20"/>
          <w:szCs w:val="20"/>
        </w:rPr>
        <w:t>), Wiley. See pages 200-203.</w:t>
      </w:r>
    </w:p>
    <w:p w14:paraId="7DA7935C" w14:textId="2624124C" w:rsidR="00545B3B" w:rsidRDefault="00545B3B" w:rsidP="005946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Lee. J. D. (1996). </w:t>
      </w:r>
      <w:r w:rsidRPr="009234BD">
        <w:rPr>
          <w:rFonts w:ascii="Arial" w:hAnsi="Arial" w:cs="Arial"/>
          <w:i/>
          <w:iCs/>
          <w:sz w:val="20"/>
          <w:szCs w:val="20"/>
        </w:rPr>
        <w:t>Concise Inorganic Chemistry</w:t>
      </w:r>
      <w:r>
        <w:rPr>
          <w:rFonts w:ascii="Arial" w:hAnsi="Arial" w:cs="Arial"/>
          <w:sz w:val="20"/>
          <w:szCs w:val="20"/>
        </w:rPr>
        <w:t xml:space="preserve"> (5</w:t>
      </w:r>
      <w:r w:rsidRPr="00545B3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edn</w:t>
      </w:r>
      <w:proofErr w:type="spellEnd"/>
      <w:r>
        <w:rPr>
          <w:rFonts w:ascii="Arial" w:hAnsi="Arial" w:cs="Arial"/>
          <w:sz w:val="20"/>
          <w:szCs w:val="20"/>
        </w:rPr>
        <w:t xml:space="preserve">), Blackwell. See pages </w:t>
      </w:r>
      <w:r w:rsidR="009652CB">
        <w:rPr>
          <w:rFonts w:ascii="Arial" w:hAnsi="Arial" w:cs="Arial"/>
          <w:sz w:val="20"/>
          <w:szCs w:val="20"/>
        </w:rPr>
        <w:t>156-157.</w:t>
      </w:r>
    </w:p>
    <w:p w14:paraId="32058EE2" w14:textId="05900838" w:rsidR="00545B3B" w:rsidRPr="00545B3B" w:rsidRDefault="00545B3B" w:rsidP="00545B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545B3B" w:rsidRPr="00545B3B" w:rsidSect="00FC55F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4914"/>
    <w:multiLevelType w:val="hybridMultilevel"/>
    <w:tmpl w:val="90BAC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73A9"/>
    <w:multiLevelType w:val="hybridMultilevel"/>
    <w:tmpl w:val="D682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F0CBA"/>
    <w:multiLevelType w:val="hybridMultilevel"/>
    <w:tmpl w:val="D9E4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88"/>
    <w:rsid w:val="000116E7"/>
    <w:rsid w:val="00035555"/>
    <w:rsid w:val="00050410"/>
    <w:rsid w:val="00063A35"/>
    <w:rsid w:val="00071323"/>
    <w:rsid w:val="00096405"/>
    <w:rsid w:val="000D5DA0"/>
    <w:rsid w:val="00140362"/>
    <w:rsid w:val="00151D74"/>
    <w:rsid w:val="00160B20"/>
    <w:rsid w:val="001E0019"/>
    <w:rsid w:val="001E38C2"/>
    <w:rsid w:val="00207D5E"/>
    <w:rsid w:val="00220404"/>
    <w:rsid w:val="00224B3F"/>
    <w:rsid w:val="00254F06"/>
    <w:rsid w:val="0028221E"/>
    <w:rsid w:val="0029415D"/>
    <w:rsid w:val="002A1D16"/>
    <w:rsid w:val="002C1288"/>
    <w:rsid w:val="002D6ADC"/>
    <w:rsid w:val="002F25E0"/>
    <w:rsid w:val="00315C1D"/>
    <w:rsid w:val="00334154"/>
    <w:rsid w:val="00342A91"/>
    <w:rsid w:val="00353631"/>
    <w:rsid w:val="003543F8"/>
    <w:rsid w:val="003A14CF"/>
    <w:rsid w:val="003A2EFA"/>
    <w:rsid w:val="003E307B"/>
    <w:rsid w:val="00411673"/>
    <w:rsid w:val="004D39D7"/>
    <w:rsid w:val="00536797"/>
    <w:rsid w:val="00545B3B"/>
    <w:rsid w:val="0059346B"/>
    <w:rsid w:val="0059463A"/>
    <w:rsid w:val="00597587"/>
    <w:rsid w:val="006073F2"/>
    <w:rsid w:val="00667E5E"/>
    <w:rsid w:val="006901C9"/>
    <w:rsid w:val="00691ADB"/>
    <w:rsid w:val="006E3C73"/>
    <w:rsid w:val="006F198A"/>
    <w:rsid w:val="00700CB9"/>
    <w:rsid w:val="007667FB"/>
    <w:rsid w:val="00794A58"/>
    <w:rsid w:val="007E58EC"/>
    <w:rsid w:val="00800A80"/>
    <w:rsid w:val="008175F5"/>
    <w:rsid w:val="0082225C"/>
    <w:rsid w:val="00842BF9"/>
    <w:rsid w:val="00886226"/>
    <w:rsid w:val="00893842"/>
    <w:rsid w:val="00895727"/>
    <w:rsid w:val="008E1D58"/>
    <w:rsid w:val="00903C3F"/>
    <w:rsid w:val="00921836"/>
    <w:rsid w:val="009234BD"/>
    <w:rsid w:val="009234E8"/>
    <w:rsid w:val="00934C43"/>
    <w:rsid w:val="009652CB"/>
    <w:rsid w:val="009679F8"/>
    <w:rsid w:val="00980C8C"/>
    <w:rsid w:val="009860D7"/>
    <w:rsid w:val="009C57D6"/>
    <w:rsid w:val="009F0482"/>
    <w:rsid w:val="00A1107D"/>
    <w:rsid w:val="00A560CC"/>
    <w:rsid w:val="00A90C0C"/>
    <w:rsid w:val="00AA571D"/>
    <w:rsid w:val="00AA645D"/>
    <w:rsid w:val="00AB7D69"/>
    <w:rsid w:val="00AE42ED"/>
    <w:rsid w:val="00B03F9C"/>
    <w:rsid w:val="00B10358"/>
    <w:rsid w:val="00B11D88"/>
    <w:rsid w:val="00B417BD"/>
    <w:rsid w:val="00BC5ACA"/>
    <w:rsid w:val="00BE2D80"/>
    <w:rsid w:val="00C62DEC"/>
    <w:rsid w:val="00C74482"/>
    <w:rsid w:val="00C84003"/>
    <w:rsid w:val="00CA2FC0"/>
    <w:rsid w:val="00CA609A"/>
    <w:rsid w:val="00CB0096"/>
    <w:rsid w:val="00CB3D68"/>
    <w:rsid w:val="00CF2FAB"/>
    <w:rsid w:val="00D83886"/>
    <w:rsid w:val="00DA0201"/>
    <w:rsid w:val="00DB3E94"/>
    <w:rsid w:val="00DE22B8"/>
    <w:rsid w:val="00E12488"/>
    <w:rsid w:val="00E12BAA"/>
    <w:rsid w:val="00E15808"/>
    <w:rsid w:val="00E5690C"/>
    <w:rsid w:val="00EA6296"/>
    <w:rsid w:val="00ED2251"/>
    <w:rsid w:val="00ED71CA"/>
    <w:rsid w:val="00F03979"/>
    <w:rsid w:val="00F41F94"/>
    <w:rsid w:val="00F674E1"/>
    <w:rsid w:val="00FC55F0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E84F"/>
  <w15:chartTrackingRefBased/>
  <w15:docId w15:val="{784D9012-0E87-B347-9C4D-C8F9ABF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3C3F"/>
  </w:style>
  <w:style w:type="paragraph" w:styleId="NormalWeb">
    <w:name w:val="Normal (Web)"/>
    <w:basedOn w:val="Normal"/>
    <w:uiPriority w:val="99"/>
    <w:semiHidden/>
    <w:unhideWhenUsed/>
    <w:rsid w:val="00CA2F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GC">
    <w:name w:val="FGC"/>
    <w:basedOn w:val="Normal"/>
    <w:autoRedefine/>
    <w:rsid w:val="00E12488"/>
    <w:pPr>
      <w:spacing w:before="120" w:after="60" w:line="48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GN">
    <w:name w:val="FGN"/>
    <w:basedOn w:val="Normal"/>
    <w:link w:val="FGNChar"/>
    <w:autoRedefine/>
    <w:qFormat/>
    <w:rsid w:val="00E12488"/>
    <w:pPr>
      <w:spacing w:before="120" w:after="6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GNChar">
    <w:name w:val="FGN Char"/>
    <w:link w:val="FGN"/>
    <w:rsid w:val="00E12488"/>
    <w:rPr>
      <w:rFonts w:ascii="Times New Roman" w:eastAsia="Times New Roman" w:hAnsi="Times New Roman" w:cs="Times New Roman"/>
      <w:lang w:val="en-US"/>
    </w:rPr>
  </w:style>
  <w:style w:type="paragraph" w:customStyle="1" w:styleId="FT2Close">
    <w:name w:val="FT2 Close"/>
    <w:link w:val="FT2CloseChar"/>
    <w:rsid w:val="00E12488"/>
    <w:pPr>
      <w:pBdr>
        <w:bottom w:val="single" w:sz="24" w:space="1" w:color="008000"/>
      </w:pBdr>
      <w:shd w:val="clear" w:color="auto" w:fill="E6E6E6"/>
    </w:pPr>
    <w:rPr>
      <w:rFonts w:ascii="Times New Roman" w:eastAsia="Times New Roman" w:hAnsi="Times New Roman" w:cs="Times New Roman"/>
      <w:lang w:val="en-US"/>
    </w:rPr>
  </w:style>
  <w:style w:type="character" w:customStyle="1" w:styleId="FT2CloseChar">
    <w:name w:val="FT2 Close Char"/>
    <w:link w:val="FT2Close"/>
    <w:rsid w:val="00E12488"/>
    <w:rPr>
      <w:rFonts w:ascii="Times New Roman" w:eastAsia="Times New Roman" w:hAnsi="Times New Roman" w:cs="Times New Roman"/>
      <w:shd w:val="clear" w:color="auto" w:fill="E6E6E6"/>
      <w:lang w:val="en-US"/>
    </w:rPr>
  </w:style>
  <w:style w:type="paragraph" w:customStyle="1" w:styleId="FT2Open">
    <w:name w:val="FT2 Open"/>
    <w:rsid w:val="00E12488"/>
    <w:pPr>
      <w:pBdr>
        <w:top w:val="single" w:sz="24" w:space="1" w:color="008000"/>
      </w:pBdr>
      <w:shd w:val="clear" w:color="auto" w:fill="E6E6E6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254F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4F06"/>
  </w:style>
  <w:style w:type="character" w:customStyle="1" w:styleId="eop">
    <w:name w:val="eop"/>
    <w:basedOn w:val="DefaultParagraphFont"/>
    <w:rsid w:val="00254F06"/>
  </w:style>
  <w:style w:type="paragraph" w:styleId="ListParagraph">
    <w:name w:val="List Paragraph"/>
    <w:basedOn w:val="Normal"/>
    <w:uiPriority w:val="34"/>
    <w:qFormat/>
    <w:rsid w:val="00151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2020-12-06T17:22:00Z</dcterms:created>
  <dcterms:modified xsi:type="dcterms:W3CDTF">2021-01-19T14:11:00Z</dcterms:modified>
</cp:coreProperties>
</file>