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2D96" w14:textId="12AB1DE5" w:rsidR="00F460DD" w:rsidRPr="000116E7" w:rsidRDefault="00F460DD" w:rsidP="00F460DD">
      <w:pPr>
        <w:autoSpaceDE w:val="0"/>
        <w:autoSpaceDN w:val="0"/>
        <w:adjustRightInd w:val="0"/>
        <w:spacing w:after="120"/>
        <w:jc w:val="center"/>
        <w:rPr>
          <w:rFonts w:ascii="Arial" w:hAnsi="Arial" w:cs="Arial"/>
          <w:b/>
          <w:bCs/>
        </w:rPr>
      </w:pPr>
      <w:r>
        <w:rPr>
          <w:rFonts w:ascii="Arial" w:hAnsi="Arial" w:cs="Arial"/>
          <w:b/>
          <w:bCs/>
        </w:rPr>
        <w:t>Elements of the 4p Row in their Group Maximum Oxidation State</w:t>
      </w:r>
    </w:p>
    <w:p w14:paraId="110D42E2" w14:textId="15127981" w:rsidR="00A46EDE" w:rsidRPr="00A46EDE" w:rsidRDefault="00A46EDE" w:rsidP="009234E8">
      <w:pPr>
        <w:autoSpaceDE w:val="0"/>
        <w:autoSpaceDN w:val="0"/>
        <w:adjustRightInd w:val="0"/>
        <w:spacing w:after="120"/>
        <w:jc w:val="both"/>
        <w:rPr>
          <w:rFonts w:ascii="Arial" w:hAnsi="Arial" w:cs="Arial"/>
          <w:b/>
          <w:bCs/>
          <w:i/>
          <w:iCs/>
          <w:sz w:val="20"/>
          <w:szCs w:val="20"/>
        </w:rPr>
      </w:pPr>
      <w:r w:rsidRPr="00A46EDE">
        <w:rPr>
          <w:rFonts w:ascii="Arial" w:hAnsi="Arial" w:cs="Arial"/>
          <w:b/>
          <w:bCs/>
          <w:i/>
          <w:iCs/>
          <w:sz w:val="20"/>
          <w:szCs w:val="20"/>
        </w:rPr>
        <w:t>Introduction</w:t>
      </w:r>
    </w:p>
    <w:p w14:paraId="1A1C638F" w14:textId="0A7EB759" w:rsidR="00E176A9" w:rsidRDefault="00B533E3" w:rsidP="009234E8">
      <w:pPr>
        <w:autoSpaceDE w:val="0"/>
        <w:autoSpaceDN w:val="0"/>
        <w:adjustRightInd w:val="0"/>
        <w:spacing w:after="120"/>
        <w:jc w:val="both"/>
        <w:rPr>
          <w:rFonts w:ascii="Arial" w:hAnsi="Arial" w:cs="Arial"/>
          <w:sz w:val="20"/>
          <w:szCs w:val="20"/>
        </w:rPr>
      </w:pPr>
      <w:r>
        <w:rPr>
          <w:rFonts w:ascii="Arial" w:hAnsi="Arial" w:cs="Arial"/>
          <w:sz w:val="20"/>
          <w:szCs w:val="20"/>
        </w:rPr>
        <w:t>In Chapter 4, Section 4.2 on pages 62-63, there</w:t>
      </w:r>
      <w:r w:rsidR="00843458">
        <w:rPr>
          <w:rFonts w:ascii="Arial" w:hAnsi="Arial" w:cs="Arial"/>
          <w:sz w:val="20"/>
          <w:szCs w:val="20"/>
        </w:rPr>
        <w:t xml:space="preserve"> i</w:t>
      </w:r>
      <w:r>
        <w:rPr>
          <w:rFonts w:ascii="Arial" w:hAnsi="Arial" w:cs="Arial"/>
          <w:sz w:val="20"/>
          <w:szCs w:val="20"/>
        </w:rPr>
        <w:t xml:space="preserve">s a short section </w:t>
      </w:r>
      <w:r w:rsidR="00B67B5D">
        <w:rPr>
          <w:rFonts w:ascii="Arial" w:hAnsi="Arial" w:cs="Arial"/>
          <w:sz w:val="20"/>
          <w:szCs w:val="20"/>
        </w:rPr>
        <w:t xml:space="preserve">which </w:t>
      </w:r>
      <w:r w:rsidR="00B03006">
        <w:rPr>
          <w:rFonts w:ascii="Arial" w:hAnsi="Arial" w:cs="Arial"/>
          <w:sz w:val="20"/>
          <w:szCs w:val="20"/>
        </w:rPr>
        <w:t>considers</w:t>
      </w:r>
      <w:r>
        <w:rPr>
          <w:rFonts w:ascii="Arial" w:hAnsi="Arial" w:cs="Arial"/>
          <w:sz w:val="20"/>
          <w:szCs w:val="20"/>
        </w:rPr>
        <w:t xml:space="preserve"> the observed reluctance of elements of the 4p row to exhibit their group maximum oxidation state</w:t>
      </w:r>
      <w:r w:rsidR="00B03006">
        <w:rPr>
          <w:rFonts w:ascii="Arial" w:hAnsi="Arial" w:cs="Arial"/>
          <w:sz w:val="20"/>
          <w:szCs w:val="20"/>
        </w:rPr>
        <w:t xml:space="preserve"> in the compounds which they form</w:t>
      </w:r>
      <w:r>
        <w:rPr>
          <w:rFonts w:ascii="Arial" w:hAnsi="Arial" w:cs="Arial"/>
          <w:sz w:val="20"/>
          <w:szCs w:val="20"/>
        </w:rPr>
        <w:t xml:space="preserve">. Specifically, </w:t>
      </w:r>
      <w:r w:rsidR="00B67B5D">
        <w:rPr>
          <w:rFonts w:ascii="Arial" w:hAnsi="Arial" w:cs="Arial"/>
          <w:sz w:val="20"/>
          <w:szCs w:val="20"/>
        </w:rPr>
        <w:t>these are</w:t>
      </w:r>
      <w:r w:rsidR="00E176A9">
        <w:rPr>
          <w:rFonts w:ascii="Arial" w:hAnsi="Arial" w:cs="Arial"/>
          <w:sz w:val="20"/>
          <w:szCs w:val="20"/>
        </w:rPr>
        <w:t xml:space="preserve"> compounds of</w:t>
      </w:r>
      <w:r>
        <w:rPr>
          <w:rFonts w:ascii="Arial" w:hAnsi="Arial" w:cs="Arial"/>
          <w:sz w:val="20"/>
          <w:szCs w:val="20"/>
        </w:rPr>
        <w:t xml:space="preserve"> </w:t>
      </w:r>
      <w:proofErr w:type="gramStart"/>
      <w:r>
        <w:rPr>
          <w:rFonts w:ascii="Arial" w:hAnsi="Arial" w:cs="Arial"/>
          <w:sz w:val="20"/>
          <w:szCs w:val="20"/>
        </w:rPr>
        <w:t>Ga(</w:t>
      </w:r>
      <w:proofErr w:type="gramEnd"/>
      <w:r>
        <w:rPr>
          <w:rFonts w:ascii="Arial" w:hAnsi="Arial" w:cs="Arial"/>
          <w:sz w:val="20"/>
          <w:szCs w:val="20"/>
        </w:rPr>
        <w:t>III), Ge(IV), As(V), Se(VI) and Br(VII)</w:t>
      </w:r>
      <w:r w:rsidR="00E176A9">
        <w:rPr>
          <w:rFonts w:ascii="Arial" w:hAnsi="Arial" w:cs="Arial"/>
          <w:sz w:val="20"/>
          <w:szCs w:val="20"/>
        </w:rPr>
        <w:t xml:space="preserve"> although this reluctance is only really apparent for As(V), Se(VI) and Br(VII)</w:t>
      </w:r>
      <w:r>
        <w:rPr>
          <w:rFonts w:ascii="Arial" w:hAnsi="Arial" w:cs="Arial"/>
          <w:sz w:val="20"/>
          <w:szCs w:val="20"/>
        </w:rPr>
        <w:t xml:space="preserve">. Krypton has such a limited chemistry that we need consider it no further; in none of </w:t>
      </w:r>
      <w:r w:rsidR="00B67B5D">
        <w:rPr>
          <w:rFonts w:ascii="Arial" w:hAnsi="Arial" w:cs="Arial"/>
          <w:sz w:val="20"/>
          <w:szCs w:val="20"/>
        </w:rPr>
        <w:t>its</w:t>
      </w:r>
      <w:r>
        <w:rPr>
          <w:rFonts w:ascii="Arial" w:hAnsi="Arial" w:cs="Arial"/>
          <w:sz w:val="20"/>
          <w:szCs w:val="20"/>
        </w:rPr>
        <w:t xml:space="preserve"> </w:t>
      </w:r>
      <w:r w:rsidR="00B67B5D">
        <w:rPr>
          <w:rFonts w:ascii="Arial" w:hAnsi="Arial" w:cs="Arial"/>
          <w:sz w:val="20"/>
          <w:szCs w:val="20"/>
        </w:rPr>
        <w:t xml:space="preserve">known </w:t>
      </w:r>
      <w:r w:rsidR="00B03006">
        <w:rPr>
          <w:rFonts w:ascii="Arial" w:hAnsi="Arial" w:cs="Arial"/>
          <w:sz w:val="20"/>
          <w:szCs w:val="20"/>
        </w:rPr>
        <w:t xml:space="preserve">compounds </w:t>
      </w:r>
      <w:r>
        <w:rPr>
          <w:rFonts w:ascii="Arial" w:hAnsi="Arial" w:cs="Arial"/>
          <w:sz w:val="20"/>
          <w:szCs w:val="20"/>
        </w:rPr>
        <w:t xml:space="preserve">is it found in an oxidation state greater than </w:t>
      </w:r>
      <w:proofErr w:type="gramStart"/>
      <w:r w:rsidR="00B03006">
        <w:rPr>
          <w:rFonts w:ascii="Arial" w:hAnsi="Arial" w:cs="Arial"/>
          <w:sz w:val="20"/>
          <w:szCs w:val="20"/>
        </w:rPr>
        <w:t>Kr(</w:t>
      </w:r>
      <w:proofErr w:type="gramEnd"/>
      <w:r>
        <w:rPr>
          <w:rFonts w:ascii="Arial" w:hAnsi="Arial" w:cs="Arial"/>
          <w:sz w:val="20"/>
          <w:szCs w:val="20"/>
        </w:rPr>
        <w:t>II</w:t>
      </w:r>
      <w:r w:rsidR="00B03006">
        <w:rPr>
          <w:rFonts w:ascii="Arial" w:hAnsi="Arial" w:cs="Arial"/>
          <w:sz w:val="20"/>
          <w:szCs w:val="20"/>
        </w:rPr>
        <w:t>)</w:t>
      </w:r>
      <w:r>
        <w:rPr>
          <w:rFonts w:ascii="Arial" w:hAnsi="Arial" w:cs="Arial"/>
          <w:sz w:val="20"/>
          <w:szCs w:val="20"/>
        </w:rPr>
        <w:t>, e.g. KrF</w:t>
      </w:r>
      <w:r w:rsidRPr="00B533E3">
        <w:rPr>
          <w:rFonts w:ascii="Arial" w:hAnsi="Arial" w:cs="Arial"/>
          <w:sz w:val="20"/>
          <w:szCs w:val="20"/>
          <w:vertAlign w:val="subscript"/>
        </w:rPr>
        <w:t>2</w:t>
      </w:r>
      <w:r>
        <w:rPr>
          <w:rFonts w:ascii="Arial" w:hAnsi="Arial" w:cs="Arial"/>
          <w:sz w:val="20"/>
          <w:szCs w:val="20"/>
        </w:rPr>
        <w:t>.</w:t>
      </w:r>
      <w:r w:rsidR="00B03006">
        <w:rPr>
          <w:rFonts w:ascii="Arial" w:hAnsi="Arial" w:cs="Arial"/>
          <w:sz w:val="20"/>
          <w:szCs w:val="20"/>
        </w:rPr>
        <w:t xml:space="preserve"> </w:t>
      </w:r>
    </w:p>
    <w:p w14:paraId="6C15805E" w14:textId="3D12B83C" w:rsidR="00200021" w:rsidRPr="003927AC" w:rsidRDefault="00B67B5D"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The reason </w:t>
      </w:r>
      <w:r w:rsidR="00E176A9">
        <w:rPr>
          <w:rFonts w:ascii="Arial" w:hAnsi="Arial" w:cs="Arial"/>
          <w:sz w:val="20"/>
          <w:szCs w:val="20"/>
        </w:rPr>
        <w:t xml:space="preserve">generally </w:t>
      </w:r>
      <w:r>
        <w:rPr>
          <w:rFonts w:ascii="Arial" w:hAnsi="Arial" w:cs="Arial"/>
          <w:sz w:val="20"/>
          <w:szCs w:val="20"/>
        </w:rPr>
        <w:t xml:space="preserve">offered to explain this observation is that the presence of the </w:t>
      </w:r>
      <w:r w:rsidR="000E434B">
        <w:rPr>
          <w:rFonts w:ascii="Arial" w:hAnsi="Arial" w:cs="Arial"/>
          <w:sz w:val="20"/>
          <w:szCs w:val="20"/>
        </w:rPr>
        <w:t xml:space="preserve">preceding </w:t>
      </w:r>
      <w:r>
        <w:rPr>
          <w:rFonts w:ascii="Arial" w:hAnsi="Arial" w:cs="Arial"/>
          <w:sz w:val="20"/>
          <w:szCs w:val="20"/>
        </w:rPr>
        <w:t xml:space="preserve">3d row elements with their poorly shielding 3d electrons leads to the 4p elements having a greater effective nuclear charge (Z*) which inhibits their ability to employ all of their valence electrons in bonding. We encountered other properties </w:t>
      </w:r>
      <w:r w:rsidR="006B213F">
        <w:rPr>
          <w:rFonts w:ascii="Arial" w:hAnsi="Arial" w:cs="Arial"/>
          <w:sz w:val="20"/>
          <w:szCs w:val="20"/>
        </w:rPr>
        <w:t xml:space="preserve">of certain 4p elements </w:t>
      </w:r>
      <w:r>
        <w:rPr>
          <w:rFonts w:ascii="Arial" w:hAnsi="Arial" w:cs="Arial"/>
          <w:sz w:val="20"/>
          <w:szCs w:val="20"/>
        </w:rPr>
        <w:t xml:space="preserve">where the effect of the 3d row was evident, for example, the greater electronegativity of Ga </w:t>
      </w:r>
      <w:r w:rsidRPr="00B67B5D">
        <w:rPr>
          <w:rFonts w:ascii="Arial" w:hAnsi="Arial" w:cs="Arial"/>
          <w:i/>
          <w:iCs/>
          <w:sz w:val="20"/>
          <w:szCs w:val="20"/>
        </w:rPr>
        <w:t>vs</w:t>
      </w:r>
      <w:r>
        <w:rPr>
          <w:rFonts w:ascii="Arial" w:hAnsi="Arial" w:cs="Arial"/>
          <w:sz w:val="20"/>
          <w:szCs w:val="20"/>
        </w:rPr>
        <w:t xml:space="preserve"> Al. In this </w:t>
      </w:r>
      <w:r w:rsidR="00131D71">
        <w:rPr>
          <w:rFonts w:ascii="Arial" w:hAnsi="Arial" w:cs="Arial"/>
          <w:sz w:val="20"/>
          <w:szCs w:val="20"/>
        </w:rPr>
        <w:t>addendum</w:t>
      </w:r>
      <w:r>
        <w:rPr>
          <w:rFonts w:ascii="Arial" w:hAnsi="Arial" w:cs="Arial"/>
          <w:sz w:val="20"/>
          <w:szCs w:val="20"/>
        </w:rPr>
        <w:t>, we</w:t>
      </w:r>
      <w:r w:rsidR="00843458">
        <w:rPr>
          <w:rFonts w:ascii="Arial" w:hAnsi="Arial" w:cs="Arial"/>
          <w:sz w:val="20"/>
          <w:szCs w:val="20"/>
        </w:rPr>
        <w:t xml:space="preserve"> wi</w:t>
      </w:r>
      <w:r>
        <w:rPr>
          <w:rFonts w:ascii="Arial" w:hAnsi="Arial" w:cs="Arial"/>
          <w:sz w:val="20"/>
          <w:szCs w:val="20"/>
        </w:rPr>
        <w:t xml:space="preserve">ll expand a little on the explanation and present a number of examples which illustrate the effect. </w:t>
      </w:r>
      <w:r w:rsidR="00E176A9">
        <w:rPr>
          <w:rFonts w:ascii="Arial" w:hAnsi="Arial" w:cs="Arial"/>
          <w:sz w:val="20"/>
          <w:szCs w:val="20"/>
        </w:rPr>
        <w:t>However, b</w:t>
      </w:r>
      <w:r>
        <w:rPr>
          <w:rFonts w:ascii="Arial" w:hAnsi="Arial" w:cs="Arial"/>
          <w:sz w:val="20"/>
          <w:szCs w:val="20"/>
        </w:rPr>
        <w:t xml:space="preserve">efore doing so, </w:t>
      </w:r>
      <w:r w:rsidR="00200021">
        <w:rPr>
          <w:rFonts w:ascii="Arial" w:hAnsi="Arial" w:cs="Arial"/>
          <w:sz w:val="20"/>
          <w:szCs w:val="20"/>
        </w:rPr>
        <w:t>we should briefly consider oxidation state and valence for the compounds we’ll encounter.</w:t>
      </w:r>
      <w:r w:rsidR="00200021" w:rsidRPr="00200021">
        <w:rPr>
          <w:rFonts w:ascii="Arial" w:hAnsi="Arial" w:cs="Arial"/>
          <w:sz w:val="20"/>
          <w:szCs w:val="20"/>
        </w:rPr>
        <w:t xml:space="preserve"> </w:t>
      </w:r>
      <w:r w:rsidR="00200021">
        <w:rPr>
          <w:rFonts w:ascii="Arial" w:hAnsi="Arial" w:cs="Arial"/>
          <w:sz w:val="20"/>
          <w:szCs w:val="20"/>
        </w:rPr>
        <w:t xml:space="preserve">Recall that in Section 4.1 in Chapter 4 we </w:t>
      </w:r>
      <w:r w:rsidR="003927AC">
        <w:rPr>
          <w:rFonts w:ascii="Arial" w:hAnsi="Arial" w:cs="Arial"/>
          <w:sz w:val="20"/>
          <w:szCs w:val="20"/>
        </w:rPr>
        <w:t>described</w:t>
      </w:r>
      <w:r w:rsidR="00200021">
        <w:rPr>
          <w:rFonts w:ascii="Arial" w:hAnsi="Arial" w:cs="Arial"/>
          <w:sz w:val="20"/>
          <w:szCs w:val="20"/>
        </w:rPr>
        <w:t xml:space="preserve"> oxidation state and valence in some detail and made the point that these two terms </w:t>
      </w:r>
      <w:r w:rsidR="003927AC">
        <w:rPr>
          <w:rFonts w:ascii="Arial" w:hAnsi="Arial" w:cs="Arial"/>
          <w:sz w:val="20"/>
          <w:szCs w:val="20"/>
        </w:rPr>
        <w:t>have quite different definitions</w:t>
      </w:r>
      <w:r w:rsidR="00200021">
        <w:rPr>
          <w:rFonts w:ascii="Arial" w:hAnsi="Arial" w:cs="Arial"/>
          <w:sz w:val="20"/>
          <w:szCs w:val="20"/>
        </w:rPr>
        <w:t xml:space="preserve">. Nevertheless, in all of the compounds we’ll consider here, the elements to which the 4p element is bonded have a greater electronegativity so, for example, a pentavalent arsenic compound is also a compound of </w:t>
      </w:r>
      <w:proofErr w:type="gramStart"/>
      <w:r w:rsidR="00200021">
        <w:rPr>
          <w:rFonts w:ascii="Arial" w:hAnsi="Arial" w:cs="Arial"/>
          <w:sz w:val="20"/>
          <w:szCs w:val="20"/>
        </w:rPr>
        <w:t>As</w:t>
      </w:r>
      <w:proofErr w:type="gramEnd"/>
      <w:r w:rsidR="00200021">
        <w:rPr>
          <w:rFonts w:ascii="Arial" w:hAnsi="Arial" w:cs="Arial"/>
          <w:sz w:val="20"/>
          <w:szCs w:val="20"/>
        </w:rPr>
        <w:t>(V). We can therefore use the terms interchangeably</w:t>
      </w:r>
      <w:r w:rsidR="003927AC">
        <w:rPr>
          <w:rFonts w:ascii="Arial" w:hAnsi="Arial" w:cs="Arial"/>
          <w:sz w:val="20"/>
          <w:szCs w:val="20"/>
        </w:rPr>
        <w:t xml:space="preserve"> in this instance</w:t>
      </w:r>
      <w:r w:rsidR="00200021">
        <w:rPr>
          <w:rFonts w:ascii="Arial" w:hAnsi="Arial" w:cs="Arial"/>
          <w:sz w:val="20"/>
          <w:szCs w:val="20"/>
        </w:rPr>
        <w:t xml:space="preserve"> and we make this point since some texts talk about </w:t>
      </w:r>
      <w:proofErr w:type="gramStart"/>
      <w:r w:rsidR="00200021">
        <w:rPr>
          <w:rFonts w:ascii="Arial" w:hAnsi="Arial" w:cs="Arial"/>
          <w:sz w:val="20"/>
          <w:szCs w:val="20"/>
        </w:rPr>
        <w:t>As</w:t>
      </w:r>
      <w:proofErr w:type="gramEnd"/>
      <w:r w:rsidR="00200021">
        <w:rPr>
          <w:rFonts w:ascii="Arial" w:hAnsi="Arial" w:cs="Arial"/>
          <w:sz w:val="20"/>
          <w:szCs w:val="20"/>
        </w:rPr>
        <w:t>(V) compounds whilst others refer to the same compounds as pentavalent arsenic.</w:t>
      </w:r>
      <w:r w:rsidR="003927AC">
        <w:rPr>
          <w:rFonts w:ascii="Arial" w:hAnsi="Arial" w:cs="Arial"/>
          <w:sz w:val="20"/>
          <w:szCs w:val="20"/>
        </w:rPr>
        <w:t xml:space="preserve"> We may therefore </w:t>
      </w:r>
      <w:r w:rsidR="003927AC" w:rsidRPr="003927AC">
        <w:rPr>
          <w:rFonts w:ascii="Arial" w:hAnsi="Arial" w:cs="Arial"/>
          <w:sz w:val="20"/>
          <w:szCs w:val="20"/>
        </w:rPr>
        <w:t xml:space="preserve">expand on the title and consider </w:t>
      </w:r>
      <w:r w:rsidR="008229E4">
        <w:rPr>
          <w:rFonts w:ascii="Arial" w:hAnsi="Arial" w:cs="Arial"/>
          <w:sz w:val="20"/>
          <w:szCs w:val="20"/>
        </w:rPr>
        <w:t xml:space="preserve">compounds of </w:t>
      </w:r>
      <w:r w:rsidR="003927AC" w:rsidRPr="003927AC">
        <w:rPr>
          <w:rFonts w:ascii="Arial" w:hAnsi="Arial" w:cs="Arial"/>
          <w:sz w:val="20"/>
          <w:szCs w:val="20"/>
        </w:rPr>
        <w:t>elements of the 4p row in their group maximum oxidation state or group maximum valence.</w:t>
      </w:r>
    </w:p>
    <w:p w14:paraId="30E54280" w14:textId="239FFA6A" w:rsidR="00200021" w:rsidRDefault="00E3256B" w:rsidP="009234E8">
      <w:pPr>
        <w:autoSpaceDE w:val="0"/>
        <w:autoSpaceDN w:val="0"/>
        <w:adjustRightInd w:val="0"/>
        <w:spacing w:after="120"/>
        <w:jc w:val="both"/>
        <w:rPr>
          <w:rFonts w:ascii="Arial" w:hAnsi="Arial" w:cs="Arial"/>
          <w:sz w:val="20"/>
          <w:szCs w:val="20"/>
        </w:rPr>
      </w:pPr>
      <w:r>
        <w:rPr>
          <w:rFonts w:ascii="Arial" w:hAnsi="Arial" w:cs="Arial"/>
          <w:sz w:val="20"/>
          <w:szCs w:val="20"/>
        </w:rPr>
        <w:t>It was Dasent</w:t>
      </w:r>
      <w:r w:rsidRPr="00E3256B">
        <w:rPr>
          <w:rFonts w:ascii="Arial" w:hAnsi="Arial" w:cs="Arial"/>
          <w:sz w:val="20"/>
          <w:szCs w:val="20"/>
          <w:vertAlign w:val="superscript"/>
        </w:rPr>
        <w:t>1</w:t>
      </w:r>
      <w:r>
        <w:rPr>
          <w:rFonts w:ascii="Arial" w:hAnsi="Arial" w:cs="Arial"/>
          <w:sz w:val="20"/>
          <w:szCs w:val="20"/>
        </w:rPr>
        <w:t xml:space="preserve"> who was one of the first to draw attention to the topic under discussion </w:t>
      </w:r>
      <w:r w:rsidR="00063C2A">
        <w:rPr>
          <w:rFonts w:ascii="Arial" w:hAnsi="Arial" w:cs="Arial"/>
          <w:sz w:val="20"/>
          <w:szCs w:val="20"/>
        </w:rPr>
        <w:t xml:space="preserve">and his explanation considered </w:t>
      </w:r>
      <w:r w:rsidR="00A46EDE">
        <w:rPr>
          <w:rFonts w:ascii="Arial" w:hAnsi="Arial" w:cs="Arial"/>
          <w:sz w:val="20"/>
          <w:szCs w:val="20"/>
        </w:rPr>
        <w:t>certain differences in</w:t>
      </w:r>
      <w:r w:rsidR="00063C2A">
        <w:rPr>
          <w:rFonts w:ascii="Arial" w:hAnsi="Arial" w:cs="Arial"/>
          <w:sz w:val="20"/>
          <w:szCs w:val="20"/>
        </w:rPr>
        <w:t xml:space="preserve"> ionisation energies </w:t>
      </w:r>
      <w:r w:rsidR="00A46EDE">
        <w:rPr>
          <w:rFonts w:ascii="Arial" w:hAnsi="Arial" w:cs="Arial"/>
          <w:sz w:val="20"/>
          <w:szCs w:val="20"/>
        </w:rPr>
        <w:t>for</w:t>
      </w:r>
      <w:r w:rsidR="00063C2A">
        <w:rPr>
          <w:rFonts w:ascii="Arial" w:hAnsi="Arial" w:cs="Arial"/>
          <w:sz w:val="20"/>
          <w:szCs w:val="20"/>
        </w:rPr>
        <w:t xml:space="preserve"> the respective elements. Thus, the data presented in Figure 1 shows the differences between the 5</w:t>
      </w:r>
      <w:r w:rsidR="00063C2A" w:rsidRPr="00063C2A">
        <w:rPr>
          <w:rFonts w:ascii="Arial" w:hAnsi="Arial" w:cs="Arial"/>
          <w:sz w:val="20"/>
          <w:szCs w:val="20"/>
          <w:vertAlign w:val="superscript"/>
        </w:rPr>
        <w:t>th</w:t>
      </w:r>
      <w:r w:rsidR="00063C2A">
        <w:rPr>
          <w:rFonts w:ascii="Arial" w:hAnsi="Arial" w:cs="Arial"/>
          <w:sz w:val="20"/>
          <w:szCs w:val="20"/>
        </w:rPr>
        <w:t xml:space="preserve"> and 6</w:t>
      </w:r>
      <w:r w:rsidR="00063C2A" w:rsidRPr="00063C2A">
        <w:rPr>
          <w:rFonts w:ascii="Arial" w:hAnsi="Arial" w:cs="Arial"/>
          <w:sz w:val="20"/>
          <w:szCs w:val="20"/>
          <w:vertAlign w:val="superscript"/>
        </w:rPr>
        <w:t>th</w:t>
      </w:r>
      <w:r w:rsidR="00063C2A">
        <w:rPr>
          <w:rFonts w:ascii="Arial" w:hAnsi="Arial" w:cs="Arial"/>
          <w:sz w:val="20"/>
          <w:szCs w:val="20"/>
        </w:rPr>
        <w:t xml:space="preserve"> ionisation energies for Cl, Br and I, the </w:t>
      </w:r>
      <w:r w:rsidR="00A46EDE">
        <w:rPr>
          <w:rFonts w:ascii="Arial" w:hAnsi="Arial" w:cs="Arial"/>
          <w:sz w:val="20"/>
          <w:szCs w:val="20"/>
        </w:rPr>
        <w:t xml:space="preserve">differences between the </w:t>
      </w:r>
      <w:r w:rsidR="00063C2A">
        <w:rPr>
          <w:rFonts w:ascii="Arial" w:hAnsi="Arial" w:cs="Arial"/>
          <w:sz w:val="20"/>
          <w:szCs w:val="20"/>
        </w:rPr>
        <w:t>4</w:t>
      </w:r>
      <w:r w:rsidR="00063C2A" w:rsidRPr="006403A1">
        <w:rPr>
          <w:rFonts w:ascii="Arial" w:hAnsi="Arial" w:cs="Arial"/>
          <w:sz w:val="20"/>
          <w:szCs w:val="20"/>
          <w:vertAlign w:val="superscript"/>
        </w:rPr>
        <w:t>th</w:t>
      </w:r>
      <w:r w:rsidR="00063C2A">
        <w:rPr>
          <w:rFonts w:ascii="Arial" w:hAnsi="Arial" w:cs="Arial"/>
          <w:sz w:val="20"/>
          <w:szCs w:val="20"/>
        </w:rPr>
        <w:t xml:space="preserve"> and 5</w:t>
      </w:r>
      <w:r w:rsidR="00063C2A" w:rsidRPr="006403A1">
        <w:rPr>
          <w:rFonts w:ascii="Arial" w:hAnsi="Arial" w:cs="Arial"/>
          <w:sz w:val="20"/>
          <w:szCs w:val="20"/>
          <w:vertAlign w:val="superscript"/>
        </w:rPr>
        <w:t>th</w:t>
      </w:r>
      <w:r w:rsidR="00063C2A">
        <w:rPr>
          <w:rFonts w:ascii="Arial" w:hAnsi="Arial" w:cs="Arial"/>
          <w:sz w:val="20"/>
          <w:szCs w:val="20"/>
        </w:rPr>
        <w:t xml:space="preserve"> ionisation energies for S, Se and </w:t>
      </w:r>
      <w:proofErr w:type="spellStart"/>
      <w:r w:rsidR="00063C2A">
        <w:rPr>
          <w:rFonts w:ascii="Arial" w:hAnsi="Arial" w:cs="Arial"/>
          <w:sz w:val="20"/>
          <w:szCs w:val="20"/>
        </w:rPr>
        <w:t>Te</w:t>
      </w:r>
      <w:proofErr w:type="spellEnd"/>
      <w:r w:rsidR="00063C2A">
        <w:rPr>
          <w:rFonts w:ascii="Arial" w:hAnsi="Arial" w:cs="Arial"/>
          <w:sz w:val="20"/>
          <w:szCs w:val="20"/>
        </w:rPr>
        <w:t xml:space="preserve"> and the </w:t>
      </w:r>
      <w:r w:rsidR="00A46EDE">
        <w:rPr>
          <w:rFonts w:ascii="Arial" w:hAnsi="Arial" w:cs="Arial"/>
          <w:sz w:val="20"/>
          <w:szCs w:val="20"/>
        </w:rPr>
        <w:t xml:space="preserve">differences between the </w:t>
      </w:r>
      <w:r w:rsidR="00063C2A">
        <w:rPr>
          <w:rFonts w:ascii="Arial" w:hAnsi="Arial" w:cs="Arial"/>
          <w:sz w:val="20"/>
          <w:szCs w:val="20"/>
        </w:rPr>
        <w:t>3</w:t>
      </w:r>
      <w:r w:rsidR="00063C2A" w:rsidRPr="006403A1">
        <w:rPr>
          <w:rFonts w:ascii="Arial" w:hAnsi="Arial" w:cs="Arial"/>
          <w:sz w:val="20"/>
          <w:szCs w:val="20"/>
          <w:vertAlign w:val="superscript"/>
        </w:rPr>
        <w:t>rd</w:t>
      </w:r>
      <w:r w:rsidR="00063C2A">
        <w:rPr>
          <w:rFonts w:ascii="Arial" w:hAnsi="Arial" w:cs="Arial"/>
          <w:sz w:val="20"/>
          <w:szCs w:val="20"/>
        </w:rPr>
        <w:t xml:space="preserve"> and 4</w:t>
      </w:r>
      <w:r w:rsidR="00063C2A" w:rsidRPr="006403A1">
        <w:rPr>
          <w:rFonts w:ascii="Arial" w:hAnsi="Arial" w:cs="Arial"/>
          <w:sz w:val="20"/>
          <w:szCs w:val="20"/>
          <w:vertAlign w:val="superscript"/>
        </w:rPr>
        <w:t>th</w:t>
      </w:r>
      <w:r w:rsidR="00063C2A">
        <w:rPr>
          <w:rFonts w:ascii="Arial" w:hAnsi="Arial" w:cs="Arial"/>
          <w:sz w:val="20"/>
          <w:szCs w:val="20"/>
        </w:rPr>
        <w:t xml:space="preserve"> ionisation energies for P, As and Sb which each reflect the difference between the processes s</w:t>
      </w:r>
      <w:r w:rsidR="00063C2A" w:rsidRPr="006403A1">
        <w:rPr>
          <w:rFonts w:ascii="Arial" w:hAnsi="Arial" w:cs="Arial"/>
          <w:sz w:val="20"/>
          <w:szCs w:val="20"/>
          <w:vertAlign w:val="superscript"/>
        </w:rPr>
        <w:t>2</w:t>
      </w:r>
      <w:r w:rsidR="00063C2A">
        <w:rPr>
          <w:rFonts w:ascii="Arial" w:hAnsi="Arial" w:cs="Arial"/>
          <w:sz w:val="20"/>
          <w:szCs w:val="20"/>
        </w:rPr>
        <w:t>p</w:t>
      </w:r>
      <w:r w:rsidR="00063C2A" w:rsidRPr="006403A1">
        <w:rPr>
          <w:rFonts w:ascii="Arial" w:hAnsi="Arial" w:cs="Arial"/>
          <w:sz w:val="20"/>
          <w:szCs w:val="20"/>
          <w:vertAlign w:val="superscript"/>
        </w:rPr>
        <w:t>1</w:t>
      </w:r>
      <w:r w:rsidR="00063C2A">
        <w:rPr>
          <w:rFonts w:ascii="Arial" w:hAnsi="Arial" w:cs="Arial"/>
          <w:sz w:val="20"/>
          <w:szCs w:val="20"/>
        </w:rPr>
        <w:t xml:space="preserve"> </w:t>
      </w:r>
      <w:r w:rsidR="00063C2A" w:rsidRPr="0029293E">
        <w:rPr>
          <w:rFonts w:ascii="Symbol" w:hAnsi="Symbol" w:cs="Arial"/>
          <w:sz w:val="20"/>
          <w:szCs w:val="20"/>
        </w:rPr>
        <w:t></w:t>
      </w:r>
      <w:r w:rsidR="00063C2A">
        <w:rPr>
          <w:rFonts w:ascii="Arial" w:hAnsi="Arial" w:cs="Arial"/>
          <w:sz w:val="20"/>
          <w:szCs w:val="20"/>
        </w:rPr>
        <w:t xml:space="preserve"> s</w:t>
      </w:r>
      <w:r w:rsidR="00063C2A" w:rsidRPr="006403A1">
        <w:rPr>
          <w:rFonts w:ascii="Arial" w:hAnsi="Arial" w:cs="Arial"/>
          <w:sz w:val="20"/>
          <w:szCs w:val="20"/>
          <w:vertAlign w:val="superscript"/>
        </w:rPr>
        <w:t>2</w:t>
      </w:r>
      <w:r w:rsidR="00063C2A">
        <w:rPr>
          <w:rFonts w:ascii="Arial" w:hAnsi="Arial" w:cs="Arial"/>
          <w:sz w:val="20"/>
          <w:szCs w:val="20"/>
        </w:rPr>
        <w:t xml:space="preserve"> and s</w:t>
      </w:r>
      <w:r w:rsidR="00063C2A" w:rsidRPr="006403A1">
        <w:rPr>
          <w:rFonts w:ascii="Arial" w:hAnsi="Arial" w:cs="Arial"/>
          <w:sz w:val="20"/>
          <w:szCs w:val="20"/>
          <w:vertAlign w:val="superscript"/>
        </w:rPr>
        <w:t>2</w:t>
      </w:r>
      <w:r w:rsidR="00063C2A">
        <w:rPr>
          <w:rFonts w:ascii="Arial" w:hAnsi="Arial" w:cs="Arial"/>
          <w:sz w:val="20"/>
          <w:szCs w:val="20"/>
        </w:rPr>
        <w:t xml:space="preserve"> </w:t>
      </w:r>
      <w:r w:rsidR="00063C2A" w:rsidRPr="0029293E">
        <w:rPr>
          <w:rFonts w:ascii="Symbol" w:hAnsi="Symbol" w:cs="Arial"/>
          <w:sz w:val="20"/>
          <w:szCs w:val="20"/>
        </w:rPr>
        <w:t></w:t>
      </w:r>
      <w:r w:rsidR="00063C2A">
        <w:rPr>
          <w:rFonts w:ascii="Arial" w:hAnsi="Arial" w:cs="Arial"/>
          <w:sz w:val="20"/>
          <w:szCs w:val="20"/>
        </w:rPr>
        <w:t xml:space="preserve"> s</w:t>
      </w:r>
      <w:r w:rsidR="00063C2A" w:rsidRPr="006403A1">
        <w:rPr>
          <w:rFonts w:ascii="Arial" w:hAnsi="Arial" w:cs="Arial"/>
          <w:sz w:val="20"/>
          <w:szCs w:val="20"/>
          <w:vertAlign w:val="superscript"/>
        </w:rPr>
        <w:t>1</w:t>
      </w:r>
      <w:r w:rsidR="00063C2A">
        <w:rPr>
          <w:rFonts w:ascii="Arial" w:hAnsi="Arial" w:cs="Arial"/>
          <w:sz w:val="20"/>
          <w:szCs w:val="20"/>
        </w:rPr>
        <w:t xml:space="preserve">, </w:t>
      </w:r>
      <w:proofErr w:type="gramStart"/>
      <w:r w:rsidR="00063C2A">
        <w:rPr>
          <w:rFonts w:ascii="Arial" w:hAnsi="Arial" w:cs="Arial"/>
          <w:sz w:val="20"/>
          <w:szCs w:val="20"/>
        </w:rPr>
        <w:t>i.e.</w:t>
      </w:r>
      <w:proofErr w:type="gramEnd"/>
      <w:r w:rsidR="00063C2A">
        <w:rPr>
          <w:rFonts w:ascii="Arial" w:hAnsi="Arial" w:cs="Arial"/>
          <w:sz w:val="20"/>
          <w:szCs w:val="20"/>
        </w:rPr>
        <w:t xml:space="preserve"> breaking into the s</w:t>
      </w:r>
      <w:r w:rsidR="00063C2A" w:rsidRPr="00D8162A">
        <w:rPr>
          <w:rFonts w:ascii="Arial" w:hAnsi="Arial" w:cs="Arial"/>
          <w:sz w:val="20"/>
          <w:szCs w:val="20"/>
          <w:vertAlign w:val="superscript"/>
        </w:rPr>
        <w:t>2</w:t>
      </w:r>
      <w:r w:rsidR="00063C2A">
        <w:rPr>
          <w:rFonts w:ascii="Arial" w:hAnsi="Arial" w:cs="Arial"/>
          <w:sz w:val="20"/>
          <w:szCs w:val="20"/>
        </w:rPr>
        <w:t xml:space="preserve"> pair. It is clear from Figure 1 </w:t>
      </w:r>
      <w:r w:rsidR="00A46EDE">
        <w:rPr>
          <w:rFonts w:ascii="Arial" w:hAnsi="Arial" w:cs="Arial"/>
          <w:sz w:val="20"/>
          <w:szCs w:val="20"/>
        </w:rPr>
        <w:t xml:space="preserve">that </w:t>
      </w:r>
      <w:r w:rsidR="00063C2A">
        <w:rPr>
          <w:rFonts w:ascii="Arial" w:hAnsi="Arial" w:cs="Arial"/>
          <w:sz w:val="20"/>
          <w:szCs w:val="20"/>
        </w:rPr>
        <w:t>in the case of As, this value is the highest in the triad of P, As and Sb and that whilst this is not the case for Se and Br in their respective triads, the values are clearly greater than a value midway between the elements on either side in their groups.</w:t>
      </w:r>
    </w:p>
    <w:p w14:paraId="29EDCA53" w14:textId="5FABAA8F" w:rsidR="00F460DD" w:rsidRDefault="00063C2A" w:rsidP="00063C2A">
      <w:pPr>
        <w:autoSpaceDE w:val="0"/>
        <w:autoSpaceDN w:val="0"/>
        <w:adjustRightInd w:val="0"/>
        <w:spacing w:after="120"/>
        <w:jc w:val="center"/>
        <w:rPr>
          <w:rFonts w:ascii="Arial" w:hAnsi="Arial" w:cs="Arial"/>
          <w:sz w:val="20"/>
          <w:szCs w:val="20"/>
        </w:rPr>
      </w:pPr>
      <w:r w:rsidRPr="004656B2">
        <w:rPr>
          <w:rFonts w:ascii="Arial" w:hAnsi="Arial" w:cs="Arial"/>
          <w:noProof/>
          <w:sz w:val="20"/>
          <w:szCs w:val="20"/>
        </w:rPr>
        <w:drawing>
          <wp:inline distT="0" distB="0" distL="0" distR="0" wp14:anchorId="57BB255C" wp14:editId="41952C77">
            <wp:extent cx="2311400" cy="368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1400" cy="3683000"/>
                    </a:xfrm>
                    <a:prstGeom prst="rect">
                      <a:avLst/>
                    </a:prstGeom>
                  </pic:spPr>
                </pic:pic>
              </a:graphicData>
            </a:graphic>
          </wp:inline>
        </w:drawing>
      </w:r>
    </w:p>
    <w:p w14:paraId="646FBC8C" w14:textId="277ADCE9" w:rsidR="00F460DD" w:rsidRDefault="00063C2A" w:rsidP="009234E8">
      <w:pPr>
        <w:autoSpaceDE w:val="0"/>
        <w:autoSpaceDN w:val="0"/>
        <w:adjustRightInd w:val="0"/>
        <w:spacing w:after="120"/>
        <w:jc w:val="both"/>
        <w:rPr>
          <w:rFonts w:ascii="Arial" w:hAnsi="Arial" w:cs="Arial"/>
          <w:sz w:val="20"/>
          <w:szCs w:val="20"/>
        </w:rPr>
      </w:pPr>
      <w:r w:rsidRPr="00063C2A">
        <w:rPr>
          <w:rFonts w:ascii="Arial" w:hAnsi="Arial" w:cs="Arial"/>
          <w:b/>
          <w:bCs/>
          <w:sz w:val="20"/>
          <w:szCs w:val="20"/>
        </w:rPr>
        <w:t>Figure 1</w:t>
      </w:r>
      <w:r>
        <w:rPr>
          <w:rFonts w:ascii="Arial" w:hAnsi="Arial" w:cs="Arial"/>
          <w:sz w:val="20"/>
          <w:szCs w:val="20"/>
        </w:rPr>
        <w:t>. The differences between the 5</w:t>
      </w:r>
      <w:r w:rsidRPr="00063C2A">
        <w:rPr>
          <w:rFonts w:ascii="Arial" w:hAnsi="Arial" w:cs="Arial"/>
          <w:sz w:val="20"/>
          <w:szCs w:val="20"/>
          <w:vertAlign w:val="superscript"/>
        </w:rPr>
        <w:t>th</w:t>
      </w:r>
      <w:r>
        <w:rPr>
          <w:rFonts w:ascii="Arial" w:hAnsi="Arial" w:cs="Arial"/>
          <w:sz w:val="20"/>
          <w:szCs w:val="20"/>
        </w:rPr>
        <w:t xml:space="preserve"> and 6</w:t>
      </w:r>
      <w:r w:rsidRPr="00063C2A">
        <w:rPr>
          <w:rFonts w:ascii="Arial" w:hAnsi="Arial" w:cs="Arial"/>
          <w:sz w:val="20"/>
          <w:szCs w:val="20"/>
          <w:vertAlign w:val="superscript"/>
        </w:rPr>
        <w:t>th</w:t>
      </w:r>
      <w:r>
        <w:rPr>
          <w:rFonts w:ascii="Arial" w:hAnsi="Arial" w:cs="Arial"/>
          <w:sz w:val="20"/>
          <w:szCs w:val="20"/>
        </w:rPr>
        <w:t xml:space="preserve"> ionisation energies for Cl, Br and I, the </w:t>
      </w:r>
      <w:r w:rsidR="008229E4">
        <w:rPr>
          <w:rFonts w:ascii="Arial" w:hAnsi="Arial" w:cs="Arial"/>
          <w:sz w:val="20"/>
          <w:szCs w:val="20"/>
        </w:rPr>
        <w:t xml:space="preserve">differences between the </w:t>
      </w:r>
      <w:r>
        <w:rPr>
          <w:rFonts w:ascii="Arial" w:hAnsi="Arial" w:cs="Arial"/>
          <w:sz w:val="20"/>
          <w:szCs w:val="20"/>
        </w:rPr>
        <w:t>4</w:t>
      </w:r>
      <w:r w:rsidRPr="006403A1">
        <w:rPr>
          <w:rFonts w:ascii="Arial" w:hAnsi="Arial" w:cs="Arial"/>
          <w:sz w:val="20"/>
          <w:szCs w:val="20"/>
          <w:vertAlign w:val="superscript"/>
        </w:rPr>
        <w:t>th</w:t>
      </w:r>
      <w:r>
        <w:rPr>
          <w:rFonts w:ascii="Arial" w:hAnsi="Arial" w:cs="Arial"/>
          <w:sz w:val="20"/>
          <w:szCs w:val="20"/>
        </w:rPr>
        <w:t xml:space="preserve"> and 5</w:t>
      </w:r>
      <w:r w:rsidRPr="006403A1">
        <w:rPr>
          <w:rFonts w:ascii="Arial" w:hAnsi="Arial" w:cs="Arial"/>
          <w:sz w:val="20"/>
          <w:szCs w:val="20"/>
          <w:vertAlign w:val="superscript"/>
        </w:rPr>
        <w:t>th</w:t>
      </w:r>
      <w:r>
        <w:rPr>
          <w:rFonts w:ascii="Arial" w:hAnsi="Arial" w:cs="Arial"/>
          <w:sz w:val="20"/>
          <w:szCs w:val="20"/>
        </w:rPr>
        <w:t xml:space="preserve"> ionisation energies for S, Se and </w:t>
      </w:r>
      <w:proofErr w:type="spellStart"/>
      <w:r>
        <w:rPr>
          <w:rFonts w:ascii="Arial" w:hAnsi="Arial" w:cs="Arial"/>
          <w:sz w:val="20"/>
          <w:szCs w:val="20"/>
        </w:rPr>
        <w:t>Te</w:t>
      </w:r>
      <w:proofErr w:type="spellEnd"/>
      <w:r>
        <w:rPr>
          <w:rFonts w:ascii="Arial" w:hAnsi="Arial" w:cs="Arial"/>
          <w:sz w:val="20"/>
          <w:szCs w:val="20"/>
        </w:rPr>
        <w:t xml:space="preserve"> and </w:t>
      </w:r>
      <w:r w:rsidR="008229E4">
        <w:rPr>
          <w:rFonts w:ascii="Arial" w:hAnsi="Arial" w:cs="Arial"/>
          <w:sz w:val="20"/>
          <w:szCs w:val="20"/>
        </w:rPr>
        <w:t xml:space="preserve">the differences between </w:t>
      </w:r>
      <w:r>
        <w:rPr>
          <w:rFonts w:ascii="Arial" w:hAnsi="Arial" w:cs="Arial"/>
          <w:sz w:val="20"/>
          <w:szCs w:val="20"/>
        </w:rPr>
        <w:t>the 3</w:t>
      </w:r>
      <w:r w:rsidRPr="006403A1">
        <w:rPr>
          <w:rFonts w:ascii="Arial" w:hAnsi="Arial" w:cs="Arial"/>
          <w:sz w:val="20"/>
          <w:szCs w:val="20"/>
          <w:vertAlign w:val="superscript"/>
        </w:rPr>
        <w:t>rd</w:t>
      </w:r>
      <w:r>
        <w:rPr>
          <w:rFonts w:ascii="Arial" w:hAnsi="Arial" w:cs="Arial"/>
          <w:sz w:val="20"/>
          <w:szCs w:val="20"/>
        </w:rPr>
        <w:t xml:space="preserve"> and 4</w:t>
      </w:r>
      <w:r w:rsidRPr="006403A1">
        <w:rPr>
          <w:rFonts w:ascii="Arial" w:hAnsi="Arial" w:cs="Arial"/>
          <w:sz w:val="20"/>
          <w:szCs w:val="20"/>
          <w:vertAlign w:val="superscript"/>
        </w:rPr>
        <w:t>th</w:t>
      </w:r>
      <w:r>
        <w:rPr>
          <w:rFonts w:ascii="Arial" w:hAnsi="Arial" w:cs="Arial"/>
          <w:sz w:val="20"/>
          <w:szCs w:val="20"/>
        </w:rPr>
        <w:t xml:space="preserve"> ionisation energies for P, As and Sb </w:t>
      </w:r>
      <w:r w:rsidR="008229E4">
        <w:rPr>
          <w:rFonts w:ascii="Arial" w:hAnsi="Arial" w:cs="Arial"/>
          <w:sz w:val="20"/>
          <w:szCs w:val="20"/>
        </w:rPr>
        <w:t xml:space="preserve">all </w:t>
      </w:r>
      <w:r>
        <w:rPr>
          <w:rFonts w:ascii="Arial" w:hAnsi="Arial" w:cs="Arial"/>
          <w:sz w:val="20"/>
          <w:szCs w:val="20"/>
        </w:rPr>
        <w:t>in kJ mol</w:t>
      </w:r>
      <w:r w:rsidRPr="00063C2A">
        <w:rPr>
          <w:rFonts w:ascii="Arial" w:hAnsi="Arial" w:cs="Arial"/>
          <w:sz w:val="20"/>
          <w:szCs w:val="20"/>
          <w:vertAlign w:val="superscript"/>
        </w:rPr>
        <w:t>–1</w:t>
      </w:r>
      <w:r>
        <w:rPr>
          <w:rFonts w:ascii="Arial" w:hAnsi="Arial" w:cs="Arial"/>
          <w:sz w:val="20"/>
          <w:szCs w:val="20"/>
        </w:rPr>
        <w:t>.</w:t>
      </w:r>
      <w:r w:rsidR="00744AB6">
        <w:rPr>
          <w:rFonts w:ascii="Arial" w:hAnsi="Arial" w:cs="Arial"/>
          <w:sz w:val="20"/>
          <w:szCs w:val="20"/>
        </w:rPr>
        <w:t xml:space="preserve"> Values for the ionisation energies used to construct Figure 1 are taken from Emsley.</w:t>
      </w:r>
      <w:r w:rsidR="00744AB6" w:rsidRPr="00744AB6">
        <w:rPr>
          <w:rFonts w:ascii="Arial" w:hAnsi="Arial" w:cs="Arial"/>
          <w:sz w:val="20"/>
          <w:szCs w:val="20"/>
          <w:vertAlign w:val="superscript"/>
        </w:rPr>
        <w:t>2</w:t>
      </w:r>
    </w:p>
    <w:p w14:paraId="73AB8729" w14:textId="63611EE1" w:rsidR="00063C2A" w:rsidRDefault="00A46EDE" w:rsidP="009234E8">
      <w:pPr>
        <w:autoSpaceDE w:val="0"/>
        <w:autoSpaceDN w:val="0"/>
        <w:adjustRightInd w:val="0"/>
        <w:spacing w:after="120"/>
        <w:jc w:val="both"/>
        <w:rPr>
          <w:rFonts w:ascii="Arial" w:hAnsi="Arial" w:cs="Arial"/>
          <w:sz w:val="20"/>
          <w:szCs w:val="20"/>
        </w:rPr>
      </w:pPr>
      <w:r>
        <w:rPr>
          <w:rFonts w:ascii="Arial" w:hAnsi="Arial" w:cs="Arial"/>
          <w:sz w:val="20"/>
          <w:szCs w:val="20"/>
        </w:rPr>
        <w:lastRenderedPageBreak/>
        <w:t>It is important to state that we are not forming As</w:t>
      </w:r>
      <w:r w:rsidRPr="00A46EDE">
        <w:rPr>
          <w:rFonts w:ascii="Arial" w:hAnsi="Arial" w:cs="Arial"/>
          <w:sz w:val="20"/>
          <w:szCs w:val="20"/>
          <w:vertAlign w:val="superscript"/>
        </w:rPr>
        <w:t>5+</w:t>
      </w:r>
      <w:r>
        <w:rPr>
          <w:rFonts w:ascii="Arial" w:hAnsi="Arial" w:cs="Arial"/>
          <w:sz w:val="20"/>
          <w:szCs w:val="20"/>
        </w:rPr>
        <w:t>, Se</w:t>
      </w:r>
      <w:r w:rsidRPr="00A46EDE">
        <w:rPr>
          <w:rFonts w:ascii="Arial" w:hAnsi="Arial" w:cs="Arial"/>
          <w:sz w:val="20"/>
          <w:szCs w:val="20"/>
          <w:vertAlign w:val="superscript"/>
        </w:rPr>
        <w:t>6+</w:t>
      </w:r>
      <w:r>
        <w:rPr>
          <w:rFonts w:ascii="Arial" w:hAnsi="Arial" w:cs="Arial"/>
          <w:sz w:val="20"/>
          <w:szCs w:val="20"/>
        </w:rPr>
        <w:t xml:space="preserve"> or Br</w:t>
      </w:r>
      <w:r w:rsidRPr="00A46EDE">
        <w:rPr>
          <w:rFonts w:ascii="Arial" w:hAnsi="Arial" w:cs="Arial"/>
          <w:sz w:val="20"/>
          <w:szCs w:val="20"/>
          <w:vertAlign w:val="superscript"/>
        </w:rPr>
        <w:t>7+</w:t>
      </w:r>
      <w:r>
        <w:rPr>
          <w:rFonts w:ascii="Arial" w:hAnsi="Arial" w:cs="Arial"/>
          <w:sz w:val="20"/>
          <w:szCs w:val="20"/>
        </w:rPr>
        <w:t xml:space="preserve"> cations in any of the compounds we are about to consider. They are all covalent species and when we talk about a compound of </w:t>
      </w:r>
      <w:proofErr w:type="gramStart"/>
      <w:r>
        <w:rPr>
          <w:rFonts w:ascii="Arial" w:hAnsi="Arial" w:cs="Arial"/>
          <w:sz w:val="20"/>
          <w:szCs w:val="20"/>
        </w:rPr>
        <w:t>As</w:t>
      </w:r>
      <w:proofErr w:type="gramEnd"/>
      <w:r>
        <w:rPr>
          <w:rFonts w:ascii="Arial" w:hAnsi="Arial" w:cs="Arial"/>
          <w:sz w:val="20"/>
          <w:szCs w:val="20"/>
        </w:rPr>
        <w:t>(V) we are employing a formal oxidation state and there is no suggestion that the compound is ionic and contains an As</w:t>
      </w:r>
      <w:r w:rsidRPr="00A46EDE">
        <w:rPr>
          <w:rFonts w:ascii="Arial" w:hAnsi="Arial" w:cs="Arial"/>
          <w:sz w:val="20"/>
          <w:szCs w:val="20"/>
          <w:vertAlign w:val="superscript"/>
        </w:rPr>
        <w:t>5+</w:t>
      </w:r>
      <w:r>
        <w:rPr>
          <w:rFonts w:ascii="Arial" w:hAnsi="Arial" w:cs="Arial"/>
          <w:sz w:val="20"/>
          <w:szCs w:val="20"/>
        </w:rPr>
        <w:t xml:space="preserve"> cation. Nevertheless, these ionisation energy data provide us with an insight into how strongly the valence electrons are held and, in particular, effect of the higher Z* value for the 4p elements.</w:t>
      </w:r>
    </w:p>
    <w:p w14:paraId="1FEA93AD" w14:textId="2F7996DC" w:rsidR="00095FE4" w:rsidRDefault="00095FE4"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What follows below are some examples of compounds which are known for As(V), </w:t>
      </w:r>
      <w:proofErr w:type="gramStart"/>
      <w:r>
        <w:rPr>
          <w:rFonts w:ascii="Arial" w:hAnsi="Arial" w:cs="Arial"/>
          <w:sz w:val="20"/>
          <w:szCs w:val="20"/>
        </w:rPr>
        <w:t>Se(</w:t>
      </w:r>
      <w:proofErr w:type="gramEnd"/>
      <w:r>
        <w:rPr>
          <w:rFonts w:ascii="Arial" w:hAnsi="Arial" w:cs="Arial"/>
          <w:sz w:val="20"/>
          <w:szCs w:val="20"/>
        </w:rPr>
        <w:t>VI) and Br(VII) and comparisons with the lighter and heavier members of their respective groups to illustrate their reduced stability.</w:t>
      </w:r>
      <w:r w:rsidR="00DE2D20">
        <w:rPr>
          <w:rFonts w:ascii="Arial" w:hAnsi="Arial" w:cs="Arial"/>
          <w:sz w:val="20"/>
          <w:szCs w:val="20"/>
        </w:rPr>
        <w:t xml:space="preserve"> References are given to original sources where appropriate. Otherwise, the examples </w:t>
      </w:r>
      <w:proofErr w:type="gramStart"/>
      <w:r w:rsidR="00DE2D20">
        <w:rPr>
          <w:rFonts w:ascii="Arial" w:hAnsi="Arial" w:cs="Arial"/>
          <w:sz w:val="20"/>
          <w:szCs w:val="20"/>
        </w:rPr>
        <w:t>chosen</w:t>
      </w:r>
      <w:proofErr w:type="gramEnd"/>
      <w:r w:rsidR="00DE2D20">
        <w:rPr>
          <w:rFonts w:ascii="Arial" w:hAnsi="Arial" w:cs="Arial"/>
          <w:sz w:val="20"/>
          <w:szCs w:val="20"/>
        </w:rPr>
        <w:t xml:space="preserve"> and the associated thermodynamic data are taken from the general texts listed in the bibliography in the book.</w:t>
      </w:r>
    </w:p>
    <w:p w14:paraId="75008AA8" w14:textId="7642D762" w:rsidR="00063C2A" w:rsidRDefault="00A46EDE" w:rsidP="009234E8">
      <w:pPr>
        <w:autoSpaceDE w:val="0"/>
        <w:autoSpaceDN w:val="0"/>
        <w:adjustRightInd w:val="0"/>
        <w:spacing w:after="120"/>
        <w:jc w:val="both"/>
        <w:rPr>
          <w:rFonts w:ascii="Arial" w:hAnsi="Arial" w:cs="Arial"/>
          <w:b/>
          <w:bCs/>
          <w:i/>
          <w:iCs/>
          <w:sz w:val="20"/>
          <w:szCs w:val="20"/>
        </w:rPr>
      </w:pPr>
      <w:r w:rsidRPr="00A46EDE">
        <w:rPr>
          <w:rFonts w:ascii="Arial" w:hAnsi="Arial" w:cs="Arial"/>
          <w:b/>
          <w:bCs/>
          <w:i/>
          <w:iCs/>
          <w:sz w:val="20"/>
          <w:szCs w:val="20"/>
        </w:rPr>
        <w:t>Arsenic(V) or pentavalent arsenic</w:t>
      </w:r>
    </w:p>
    <w:p w14:paraId="47F4856B" w14:textId="06F90EA8" w:rsidR="002F1F38" w:rsidRDefault="0032203B"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On page 109 in Chapter 6, we noted two compounds of </w:t>
      </w:r>
      <w:proofErr w:type="gramStart"/>
      <w:r>
        <w:rPr>
          <w:rFonts w:ascii="Arial" w:hAnsi="Arial" w:cs="Arial"/>
          <w:sz w:val="20"/>
          <w:szCs w:val="20"/>
        </w:rPr>
        <w:t>As</w:t>
      </w:r>
      <w:proofErr w:type="gramEnd"/>
      <w:r>
        <w:rPr>
          <w:rFonts w:ascii="Arial" w:hAnsi="Arial" w:cs="Arial"/>
          <w:sz w:val="20"/>
          <w:szCs w:val="20"/>
        </w:rPr>
        <w:t>(V), namely AsCl</w:t>
      </w:r>
      <w:r w:rsidRPr="007E3519">
        <w:rPr>
          <w:rFonts w:ascii="Arial" w:hAnsi="Arial" w:cs="Arial"/>
          <w:sz w:val="20"/>
          <w:szCs w:val="20"/>
          <w:vertAlign w:val="subscript"/>
        </w:rPr>
        <w:t>5</w:t>
      </w:r>
      <w:r>
        <w:rPr>
          <w:rFonts w:ascii="Arial" w:hAnsi="Arial" w:cs="Arial"/>
          <w:sz w:val="20"/>
          <w:szCs w:val="20"/>
        </w:rPr>
        <w:t xml:space="preserve"> and [</w:t>
      </w:r>
      <w:r w:rsidRPr="007D1436">
        <w:rPr>
          <w:rFonts w:ascii="Arial" w:hAnsi="Arial" w:cs="Arial"/>
          <w:sz w:val="20"/>
          <w:szCs w:val="20"/>
        </w:rPr>
        <w:t>AsC</w:t>
      </w:r>
      <w:r>
        <w:rPr>
          <w:rFonts w:ascii="Arial" w:hAnsi="Arial" w:cs="Arial"/>
          <w:sz w:val="20"/>
          <w:szCs w:val="20"/>
        </w:rPr>
        <w:t>l</w:t>
      </w:r>
      <w:r w:rsidRPr="007D1436">
        <w:rPr>
          <w:rFonts w:ascii="Arial" w:hAnsi="Arial" w:cs="Arial"/>
          <w:sz w:val="20"/>
          <w:szCs w:val="20"/>
          <w:vertAlign w:val="subscript"/>
        </w:rPr>
        <w:t>5</w:t>
      </w:r>
      <w:r w:rsidRPr="007D1436">
        <w:rPr>
          <w:rFonts w:ascii="Arial" w:hAnsi="Arial" w:cs="Arial"/>
          <w:sz w:val="20"/>
          <w:szCs w:val="20"/>
        </w:rPr>
        <w:t>(OPM</w:t>
      </w:r>
      <w:r>
        <w:rPr>
          <w:rFonts w:ascii="Arial" w:hAnsi="Arial" w:cs="Arial"/>
          <w:sz w:val="20"/>
          <w:szCs w:val="20"/>
        </w:rPr>
        <w:t>e</w:t>
      </w:r>
      <w:r w:rsidRPr="007D1436">
        <w:rPr>
          <w:rFonts w:ascii="Arial" w:hAnsi="Arial" w:cs="Arial"/>
          <w:sz w:val="20"/>
          <w:szCs w:val="20"/>
          <w:vertAlign w:val="subscript"/>
        </w:rPr>
        <w:t>3</w:t>
      </w:r>
      <w:r w:rsidRPr="007D1436">
        <w:rPr>
          <w:rFonts w:ascii="Arial" w:hAnsi="Arial" w:cs="Arial"/>
          <w:sz w:val="20"/>
          <w:szCs w:val="20"/>
        </w:rPr>
        <w:t>)</w:t>
      </w:r>
      <w:r>
        <w:rPr>
          <w:rFonts w:ascii="Arial" w:hAnsi="Arial" w:cs="Arial"/>
          <w:sz w:val="20"/>
          <w:szCs w:val="20"/>
        </w:rPr>
        <w:t xml:space="preserve">]. In the case of the former, we stated that whilst </w:t>
      </w:r>
      <w:r w:rsidRPr="007D1436">
        <w:rPr>
          <w:rFonts w:ascii="Arial" w:hAnsi="Arial" w:cs="Arial"/>
          <w:sz w:val="20"/>
          <w:szCs w:val="20"/>
        </w:rPr>
        <w:t>PCl</w:t>
      </w:r>
      <w:r w:rsidRPr="007D1436">
        <w:rPr>
          <w:rFonts w:ascii="Arial" w:hAnsi="Arial" w:cs="Arial"/>
          <w:sz w:val="20"/>
          <w:szCs w:val="20"/>
          <w:vertAlign w:val="subscript"/>
        </w:rPr>
        <w:t>5</w:t>
      </w:r>
      <w:r w:rsidRPr="007D1436">
        <w:rPr>
          <w:rFonts w:ascii="Arial" w:hAnsi="Arial" w:cs="Arial"/>
          <w:sz w:val="20"/>
          <w:szCs w:val="20"/>
        </w:rPr>
        <w:t xml:space="preserve"> and SbCl</w:t>
      </w:r>
      <w:r w:rsidRPr="007D1436">
        <w:rPr>
          <w:rFonts w:ascii="Arial" w:hAnsi="Arial" w:cs="Arial"/>
          <w:sz w:val="20"/>
          <w:szCs w:val="20"/>
          <w:vertAlign w:val="subscript"/>
        </w:rPr>
        <w:t>5</w:t>
      </w:r>
      <w:r w:rsidRPr="007D1436">
        <w:rPr>
          <w:rFonts w:ascii="Arial" w:hAnsi="Arial" w:cs="Arial"/>
          <w:sz w:val="20"/>
          <w:szCs w:val="20"/>
        </w:rPr>
        <w:t xml:space="preserve"> </w:t>
      </w:r>
      <w:r>
        <w:rPr>
          <w:rFonts w:ascii="Arial" w:hAnsi="Arial" w:cs="Arial"/>
          <w:sz w:val="20"/>
          <w:szCs w:val="20"/>
        </w:rPr>
        <w:t xml:space="preserve">are </w:t>
      </w:r>
      <w:r w:rsidRPr="007D1436">
        <w:rPr>
          <w:rFonts w:ascii="Arial" w:hAnsi="Arial" w:cs="Arial"/>
          <w:sz w:val="20"/>
          <w:szCs w:val="20"/>
        </w:rPr>
        <w:t>stable at room temperature</w:t>
      </w:r>
      <w:r>
        <w:rPr>
          <w:rFonts w:ascii="Arial" w:hAnsi="Arial" w:cs="Arial"/>
          <w:sz w:val="20"/>
          <w:szCs w:val="20"/>
        </w:rPr>
        <w:t xml:space="preserve">, </w:t>
      </w:r>
      <w:r w:rsidRPr="007D1436">
        <w:rPr>
          <w:rFonts w:ascii="Arial" w:hAnsi="Arial" w:cs="Arial"/>
          <w:sz w:val="20"/>
          <w:szCs w:val="20"/>
        </w:rPr>
        <w:t>AsCl</w:t>
      </w:r>
      <w:r w:rsidRPr="007D1436">
        <w:rPr>
          <w:rFonts w:ascii="Arial" w:hAnsi="Arial" w:cs="Arial"/>
          <w:sz w:val="20"/>
          <w:szCs w:val="20"/>
          <w:vertAlign w:val="subscript"/>
        </w:rPr>
        <w:t>5</w:t>
      </w:r>
      <w:r w:rsidRPr="007D1436">
        <w:rPr>
          <w:rFonts w:ascii="Arial" w:hAnsi="Arial" w:cs="Arial"/>
          <w:sz w:val="20"/>
          <w:szCs w:val="20"/>
        </w:rPr>
        <w:t xml:space="preserve"> decomposes above –50˚C</w:t>
      </w:r>
      <w:r>
        <w:rPr>
          <w:rFonts w:ascii="Arial" w:hAnsi="Arial" w:cs="Arial"/>
          <w:sz w:val="20"/>
          <w:szCs w:val="20"/>
        </w:rPr>
        <w:t xml:space="preserve"> to AsCl</w:t>
      </w:r>
      <w:r w:rsidRPr="007E3519">
        <w:rPr>
          <w:rFonts w:ascii="Arial" w:hAnsi="Arial" w:cs="Arial"/>
          <w:sz w:val="20"/>
          <w:szCs w:val="20"/>
          <w:vertAlign w:val="subscript"/>
        </w:rPr>
        <w:t>3</w:t>
      </w:r>
      <w:r>
        <w:rPr>
          <w:rFonts w:ascii="Arial" w:hAnsi="Arial" w:cs="Arial"/>
          <w:sz w:val="20"/>
          <w:szCs w:val="20"/>
        </w:rPr>
        <w:t xml:space="preserve"> and Cl</w:t>
      </w:r>
      <w:r w:rsidRPr="007E3519">
        <w:rPr>
          <w:rFonts w:ascii="Arial" w:hAnsi="Arial" w:cs="Arial"/>
          <w:sz w:val="20"/>
          <w:szCs w:val="20"/>
          <w:vertAlign w:val="subscript"/>
        </w:rPr>
        <w:t>2</w:t>
      </w:r>
      <w:r w:rsidRPr="007D1436">
        <w:rPr>
          <w:rFonts w:ascii="Arial" w:hAnsi="Arial" w:cs="Arial"/>
          <w:sz w:val="20"/>
          <w:szCs w:val="20"/>
        </w:rPr>
        <w:t xml:space="preserve">. </w:t>
      </w:r>
      <w:r>
        <w:rPr>
          <w:rFonts w:ascii="Arial" w:hAnsi="Arial" w:cs="Arial"/>
          <w:sz w:val="20"/>
          <w:szCs w:val="20"/>
        </w:rPr>
        <w:t xml:space="preserve">This is one of the </w:t>
      </w:r>
      <w:r w:rsidR="00DE4784">
        <w:rPr>
          <w:rFonts w:ascii="Arial" w:hAnsi="Arial" w:cs="Arial"/>
          <w:sz w:val="20"/>
          <w:szCs w:val="20"/>
        </w:rPr>
        <w:t>most pertinent</w:t>
      </w:r>
      <w:r>
        <w:rPr>
          <w:rFonts w:ascii="Arial" w:hAnsi="Arial" w:cs="Arial"/>
          <w:sz w:val="20"/>
          <w:szCs w:val="20"/>
        </w:rPr>
        <w:t xml:space="preserve"> examples of the effect described in this addendum. We also noted, however, that despite the thermal instability of </w:t>
      </w:r>
      <w:r w:rsidRPr="007D1436">
        <w:rPr>
          <w:rFonts w:ascii="Arial" w:hAnsi="Arial" w:cs="Arial"/>
          <w:sz w:val="20"/>
          <w:szCs w:val="20"/>
        </w:rPr>
        <w:t>AsC</w:t>
      </w:r>
      <w:r>
        <w:rPr>
          <w:rFonts w:ascii="Arial" w:hAnsi="Arial" w:cs="Arial"/>
          <w:sz w:val="20"/>
          <w:szCs w:val="20"/>
        </w:rPr>
        <w:t>l</w:t>
      </w:r>
      <w:r w:rsidRPr="007D1436">
        <w:rPr>
          <w:rFonts w:ascii="Arial" w:hAnsi="Arial" w:cs="Arial"/>
          <w:sz w:val="20"/>
          <w:szCs w:val="20"/>
          <w:vertAlign w:val="subscript"/>
        </w:rPr>
        <w:t>5</w:t>
      </w:r>
      <w:r>
        <w:rPr>
          <w:rFonts w:ascii="Arial" w:hAnsi="Arial" w:cs="Arial"/>
          <w:sz w:val="20"/>
          <w:szCs w:val="20"/>
        </w:rPr>
        <w:t xml:space="preserve">, </w:t>
      </w:r>
      <w:r w:rsidRPr="007D1436">
        <w:rPr>
          <w:rFonts w:ascii="Arial" w:hAnsi="Arial" w:cs="Arial"/>
          <w:sz w:val="20"/>
          <w:szCs w:val="20"/>
        </w:rPr>
        <w:t xml:space="preserve">the acid-base complex </w:t>
      </w:r>
      <w:r>
        <w:rPr>
          <w:rFonts w:ascii="Arial" w:hAnsi="Arial" w:cs="Arial"/>
          <w:sz w:val="20"/>
          <w:szCs w:val="20"/>
        </w:rPr>
        <w:t>[</w:t>
      </w:r>
      <w:r w:rsidRPr="007D1436">
        <w:rPr>
          <w:rFonts w:ascii="Arial" w:hAnsi="Arial" w:cs="Arial"/>
          <w:sz w:val="20"/>
          <w:szCs w:val="20"/>
        </w:rPr>
        <w:t>AsC</w:t>
      </w:r>
      <w:r>
        <w:rPr>
          <w:rFonts w:ascii="Arial" w:hAnsi="Arial" w:cs="Arial"/>
          <w:sz w:val="20"/>
          <w:szCs w:val="20"/>
        </w:rPr>
        <w:t>l</w:t>
      </w:r>
      <w:r w:rsidRPr="007D1436">
        <w:rPr>
          <w:rFonts w:ascii="Arial" w:hAnsi="Arial" w:cs="Arial"/>
          <w:sz w:val="20"/>
          <w:szCs w:val="20"/>
          <w:vertAlign w:val="subscript"/>
        </w:rPr>
        <w:t>5</w:t>
      </w:r>
      <w:r w:rsidRPr="007D1436">
        <w:rPr>
          <w:rFonts w:ascii="Arial" w:hAnsi="Arial" w:cs="Arial"/>
          <w:sz w:val="20"/>
          <w:szCs w:val="20"/>
        </w:rPr>
        <w:t>(OPM</w:t>
      </w:r>
      <w:r>
        <w:rPr>
          <w:rFonts w:ascii="Arial" w:hAnsi="Arial" w:cs="Arial"/>
          <w:sz w:val="20"/>
          <w:szCs w:val="20"/>
        </w:rPr>
        <w:t>e</w:t>
      </w:r>
      <w:r w:rsidRPr="007D1436">
        <w:rPr>
          <w:rFonts w:ascii="Arial" w:hAnsi="Arial" w:cs="Arial"/>
          <w:sz w:val="20"/>
          <w:szCs w:val="20"/>
          <w:vertAlign w:val="subscript"/>
        </w:rPr>
        <w:t>3</w:t>
      </w:r>
      <w:r w:rsidRPr="007D1436">
        <w:rPr>
          <w:rFonts w:ascii="Arial" w:hAnsi="Arial" w:cs="Arial"/>
          <w:sz w:val="20"/>
          <w:szCs w:val="20"/>
        </w:rPr>
        <w:t>)</w:t>
      </w:r>
      <w:r>
        <w:rPr>
          <w:rFonts w:ascii="Arial" w:hAnsi="Arial" w:cs="Arial"/>
          <w:sz w:val="20"/>
          <w:szCs w:val="20"/>
        </w:rPr>
        <w:t>],</w:t>
      </w:r>
      <w:r w:rsidRPr="007D1436">
        <w:rPr>
          <w:rFonts w:ascii="Arial" w:hAnsi="Arial" w:cs="Arial"/>
          <w:sz w:val="20"/>
          <w:szCs w:val="20"/>
        </w:rPr>
        <w:t xml:space="preserve"> </w:t>
      </w:r>
      <w:r>
        <w:rPr>
          <w:rFonts w:ascii="Arial" w:hAnsi="Arial" w:cs="Arial"/>
          <w:sz w:val="20"/>
          <w:szCs w:val="20"/>
        </w:rPr>
        <w:t>in which</w:t>
      </w:r>
      <w:r w:rsidRPr="007D1436">
        <w:rPr>
          <w:rFonts w:ascii="Arial" w:hAnsi="Arial" w:cs="Arial"/>
          <w:sz w:val="20"/>
          <w:szCs w:val="20"/>
        </w:rPr>
        <w:t xml:space="preserve"> the Lewis acidic AsC</w:t>
      </w:r>
      <w:r>
        <w:rPr>
          <w:rFonts w:ascii="Arial" w:hAnsi="Arial" w:cs="Arial"/>
          <w:sz w:val="20"/>
          <w:szCs w:val="20"/>
        </w:rPr>
        <w:t>l</w:t>
      </w:r>
      <w:r w:rsidRPr="007D1436">
        <w:rPr>
          <w:rFonts w:ascii="Arial" w:hAnsi="Arial" w:cs="Arial"/>
          <w:sz w:val="20"/>
          <w:szCs w:val="20"/>
          <w:vertAlign w:val="subscript"/>
        </w:rPr>
        <w:t>5</w:t>
      </w:r>
      <w:r w:rsidRPr="007D1436">
        <w:rPr>
          <w:rFonts w:ascii="Arial" w:hAnsi="Arial" w:cs="Arial"/>
          <w:sz w:val="20"/>
          <w:szCs w:val="20"/>
        </w:rPr>
        <w:t xml:space="preserve"> is complexed by the </w:t>
      </w:r>
      <w:r>
        <w:rPr>
          <w:rFonts w:ascii="Arial" w:hAnsi="Arial" w:cs="Arial"/>
          <w:sz w:val="20"/>
          <w:szCs w:val="20"/>
        </w:rPr>
        <w:t>ligand</w:t>
      </w:r>
      <w:r w:rsidRPr="007D1436">
        <w:rPr>
          <w:rFonts w:ascii="Arial" w:hAnsi="Arial" w:cs="Arial"/>
          <w:sz w:val="20"/>
          <w:szCs w:val="20"/>
        </w:rPr>
        <w:t xml:space="preserve"> </w:t>
      </w:r>
      <w:proofErr w:type="spellStart"/>
      <w:r w:rsidRPr="007D1436">
        <w:rPr>
          <w:rFonts w:ascii="Arial" w:hAnsi="Arial" w:cs="Arial"/>
          <w:sz w:val="20"/>
          <w:szCs w:val="20"/>
        </w:rPr>
        <w:t>trimethylphosphine</w:t>
      </w:r>
      <w:proofErr w:type="spellEnd"/>
      <w:r w:rsidRPr="007D1436">
        <w:rPr>
          <w:rFonts w:ascii="Arial" w:hAnsi="Arial" w:cs="Arial"/>
          <w:sz w:val="20"/>
          <w:szCs w:val="20"/>
        </w:rPr>
        <w:t xml:space="preserve"> oxide, is stable up to +50˚C</w:t>
      </w:r>
      <w:r>
        <w:rPr>
          <w:rFonts w:ascii="Arial" w:hAnsi="Arial" w:cs="Arial"/>
          <w:sz w:val="20"/>
          <w:szCs w:val="20"/>
        </w:rPr>
        <w:t xml:space="preserve"> and furthermore, that there are </w:t>
      </w:r>
      <w:r w:rsidRPr="007D1436">
        <w:rPr>
          <w:rFonts w:ascii="Arial" w:hAnsi="Arial" w:cs="Arial"/>
          <w:sz w:val="20"/>
          <w:szCs w:val="20"/>
        </w:rPr>
        <w:t>many examples where an apparently unstable oxidation state can be stabilised by complexation with Lewis bases</w:t>
      </w:r>
      <w:r>
        <w:rPr>
          <w:rFonts w:ascii="Arial" w:hAnsi="Arial" w:cs="Arial"/>
          <w:sz w:val="20"/>
          <w:szCs w:val="20"/>
        </w:rPr>
        <w:t>.</w:t>
      </w:r>
      <w:r w:rsidRPr="007D1436">
        <w:rPr>
          <w:rFonts w:ascii="Arial" w:hAnsi="Arial" w:cs="Arial"/>
          <w:sz w:val="20"/>
          <w:szCs w:val="20"/>
        </w:rPr>
        <w:t xml:space="preserve"> </w:t>
      </w:r>
      <w:r>
        <w:rPr>
          <w:rFonts w:ascii="Arial" w:hAnsi="Arial" w:cs="Arial"/>
          <w:sz w:val="20"/>
          <w:szCs w:val="20"/>
        </w:rPr>
        <w:t>This</w:t>
      </w:r>
      <w:r w:rsidRPr="007D1436">
        <w:rPr>
          <w:rFonts w:ascii="Arial" w:hAnsi="Arial" w:cs="Arial"/>
          <w:sz w:val="20"/>
          <w:szCs w:val="20"/>
        </w:rPr>
        <w:t xml:space="preserve"> suggests that </w:t>
      </w:r>
      <w:r w:rsidR="006B213F">
        <w:rPr>
          <w:rFonts w:ascii="Arial" w:hAnsi="Arial" w:cs="Arial"/>
          <w:sz w:val="20"/>
          <w:szCs w:val="20"/>
        </w:rPr>
        <w:t xml:space="preserve">the thermal </w:t>
      </w:r>
      <w:r>
        <w:rPr>
          <w:rFonts w:ascii="Arial" w:hAnsi="Arial" w:cs="Arial"/>
          <w:sz w:val="20"/>
          <w:szCs w:val="20"/>
        </w:rPr>
        <w:t>instability of A</w:t>
      </w:r>
      <w:r w:rsidR="006B213F">
        <w:rPr>
          <w:rFonts w:ascii="Arial" w:hAnsi="Arial" w:cs="Arial"/>
          <w:sz w:val="20"/>
          <w:szCs w:val="20"/>
        </w:rPr>
        <w:t>sCl</w:t>
      </w:r>
      <w:r w:rsidR="006B213F" w:rsidRPr="006B213F">
        <w:rPr>
          <w:rFonts w:ascii="Arial" w:hAnsi="Arial" w:cs="Arial"/>
          <w:sz w:val="20"/>
          <w:szCs w:val="20"/>
          <w:vertAlign w:val="subscript"/>
        </w:rPr>
        <w:t>5</w:t>
      </w:r>
      <w:r w:rsidRPr="007D1436">
        <w:rPr>
          <w:rFonts w:ascii="Arial" w:hAnsi="Arial" w:cs="Arial"/>
          <w:sz w:val="20"/>
          <w:szCs w:val="20"/>
        </w:rPr>
        <w:t xml:space="preserve"> </w:t>
      </w:r>
      <w:r>
        <w:rPr>
          <w:rFonts w:ascii="Arial" w:hAnsi="Arial" w:cs="Arial"/>
          <w:sz w:val="20"/>
          <w:szCs w:val="20"/>
        </w:rPr>
        <w:t>may be</w:t>
      </w:r>
      <w:r w:rsidRPr="007D1436">
        <w:rPr>
          <w:rFonts w:ascii="Arial" w:hAnsi="Arial" w:cs="Arial"/>
          <w:sz w:val="20"/>
          <w:szCs w:val="20"/>
        </w:rPr>
        <w:t xml:space="preserve"> kinetic </w:t>
      </w:r>
      <w:r w:rsidR="006B213F">
        <w:rPr>
          <w:rFonts w:ascii="Arial" w:hAnsi="Arial" w:cs="Arial"/>
          <w:sz w:val="20"/>
          <w:szCs w:val="20"/>
        </w:rPr>
        <w:t xml:space="preserve">as well as thermodynamic </w:t>
      </w:r>
      <w:r w:rsidRPr="007D1436">
        <w:rPr>
          <w:rFonts w:ascii="Arial" w:hAnsi="Arial" w:cs="Arial"/>
          <w:sz w:val="20"/>
          <w:szCs w:val="20"/>
        </w:rPr>
        <w:t xml:space="preserve">in origin and can be arrested by effectively saturating the coordination sphere of the central element. </w:t>
      </w:r>
      <w:r>
        <w:rPr>
          <w:rFonts w:ascii="Arial" w:hAnsi="Arial" w:cs="Arial"/>
          <w:sz w:val="20"/>
          <w:szCs w:val="20"/>
        </w:rPr>
        <w:t>We noted also a</w:t>
      </w:r>
      <w:r w:rsidRPr="007D1436">
        <w:rPr>
          <w:rFonts w:ascii="Arial" w:hAnsi="Arial" w:cs="Arial"/>
          <w:sz w:val="20"/>
          <w:szCs w:val="20"/>
        </w:rPr>
        <w:t xml:space="preserve"> further, more general, </w:t>
      </w:r>
      <w:r>
        <w:rPr>
          <w:rFonts w:ascii="Arial" w:hAnsi="Arial" w:cs="Arial"/>
          <w:sz w:val="20"/>
          <w:szCs w:val="20"/>
        </w:rPr>
        <w:t xml:space="preserve">observation: </w:t>
      </w:r>
      <w:r w:rsidRPr="007D1436">
        <w:rPr>
          <w:rFonts w:ascii="Arial" w:hAnsi="Arial" w:cs="Arial"/>
          <w:sz w:val="20"/>
          <w:szCs w:val="20"/>
        </w:rPr>
        <w:t xml:space="preserve">it is often observed that for </w:t>
      </w:r>
      <w:r>
        <w:rPr>
          <w:rFonts w:ascii="Arial" w:hAnsi="Arial" w:cs="Arial"/>
          <w:sz w:val="20"/>
          <w:szCs w:val="20"/>
        </w:rPr>
        <w:t xml:space="preserve">higher </w:t>
      </w:r>
      <w:r w:rsidRPr="007D1436">
        <w:rPr>
          <w:rFonts w:ascii="Arial" w:hAnsi="Arial" w:cs="Arial"/>
          <w:sz w:val="20"/>
          <w:szCs w:val="20"/>
        </w:rPr>
        <w:t xml:space="preserve">oxidation states where a neutral </w:t>
      </w:r>
      <w:r>
        <w:rPr>
          <w:rFonts w:ascii="Arial" w:hAnsi="Arial" w:cs="Arial"/>
          <w:sz w:val="20"/>
          <w:szCs w:val="20"/>
        </w:rPr>
        <w:t>compound</w:t>
      </w:r>
      <w:r w:rsidRPr="007D1436">
        <w:rPr>
          <w:rFonts w:ascii="Arial" w:hAnsi="Arial" w:cs="Arial"/>
          <w:sz w:val="20"/>
          <w:szCs w:val="20"/>
        </w:rPr>
        <w:t xml:space="preserve"> is unstable, the related anions are </w:t>
      </w:r>
      <w:r w:rsidR="009B0D9C">
        <w:rPr>
          <w:rFonts w:ascii="Arial" w:hAnsi="Arial" w:cs="Arial"/>
          <w:sz w:val="20"/>
          <w:szCs w:val="20"/>
        </w:rPr>
        <w:t>rather</w:t>
      </w:r>
      <w:r w:rsidRPr="007D1436">
        <w:rPr>
          <w:rFonts w:ascii="Arial" w:hAnsi="Arial" w:cs="Arial"/>
          <w:sz w:val="20"/>
          <w:szCs w:val="20"/>
        </w:rPr>
        <w:t xml:space="preserve"> more stable. </w:t>
      </w:r>
      <w:r>
        <w:rPr>
          <w:rFonts w:ascii="Arial" w:hAnsi="Arial" w:cs="Arial"/>
          <w:sz w:val="20"/>
          <w:szCs w:val="20"/>
        </w:rPr>
        <w:t>This is the case in the present example in that compounds containing the [AsCl</w:t>
      </w:r>
      <w:r w:rsidRPr="000D4ED4">
        <w:rPr>
          <w:rFonts w:ascii="Arial" w:hAnsi="Arial" w:cs="Arial"/>
          <w:sz w:val="20"/>
          <w:szCs w:val="20"/>
          <w:vertAlign w:val="subscript"/>
        </w:rPr>
        <w:t>6</w:t>
      </w:r>
      <w:r>
        <w:rPr>
          <w:rFonts w:ascii="Arial" w:hAnsi="Arial" w:cs="Arial"/>
          <w:sz w:val="20"/>
          <w:szCs w:val="20"/>
        </w:rPr>
        <w:t>]</w:t>
      </w:r>
      <w:r w:rsidRPr="000D4ED4">
        <w:rPr>
          <w:rFonts w:ascii="Arial" w:hAnsi="Arial" w:cs="Arial"/>
          <w:sz w:val="20"/>
          <w:szCs w:val="20"/>
          <w:vertAlign w:val="superscript"/>
        </w:rPr>
        <w:t>–</w:t>
      </w:r>
      <w:r>
        <w:rPr>
          <w:rFonts w:ascii="Arial" w:hAnsi="Arial" w:cs="Arial"/>
          <w:sz w:val="20"/>
          <w:szCs w:val="20"/>
        </w:rPr>
        <w:t xml:space="preserve"> anion </w:t>
      </w:r>
      <w:proofErr w:type="gramStart"/>
      <w:r>
        <w:rPr>
          <w:rFonts w:ascii="Arial" w:hAnsi="Arial" w:cs="Arial"/>
          <w:sz w:val="20"/>
          <w:szCs w:val="20"/>
        </w:rPr>
        <w:t>are</w:t>
      </w:r>
      <w:proofErr w:type="gramEnd"/>
      <w:r>
        <w:rPr>
          <w:rFonts w:ascii="Arial" w:hAnsi="Arial" w:cs="Arial"/>
          <w:sz w:val="20"/>
          <w:szCs w:val="20"/>
        </w:rPr>
        <w:t xml:space="preserve"> </w:t>
      </w:r>
      <w:r w:rsidR="009B0D9C">
        <w:rPr>
          <w:rFonts w:ascii="Arial" w:hAnsi="Arial" w:cs="Arial"/>
          <w:sz w:val="20"/>
          <w:szCs w:val="20"/>
        </w:rPr>
        <w:t>generally</w:t>
      </w:r>
      <w:r>
        <w:rPr>
          <w:rFonts w:ascii="Arial" w:hAnsi="Arial" w:cs="Arial"/>
          <w:sz w:val="20"/>
          <w:szCs w:val="20"/>
        </w:rPr>
        <w:t xml:space="preserve"> stable at room temperature. An explanation </w:t>
      </w:r>
      <w:r w:rsidR="00843458">
        <w:rPr>
          <w:rFonts w:ascii="Arial" w:hAnsi="Arial" w:cs="Arial"/>
          <w:sz w:val="20"/>
          <w:szCs w:val="20"/>
        </w:rPr>
        <w:t xml:space="preserve">sometimes offered in the example of anions </w:t>
      </w:r>
      <w:r w:rsidRPr="007D1436">
        <w:rPr>
          <w:rFonts w:ascii="Arial" w:hAnsi="Arial" w:cs="Arial"/>
          <w:sz w:val="20"/>
          <w:szCs w:val="20"/>
        </w:rPr>
        <w:t>is that the negative charge raises the energy of</w:t>
      </w:r>
      <w:r>
        <w:rPr>
          <w:rFonts w:ascii="Arial" w:hAnsi="Arial" w:cs="Arial"/>
          <w:sz w:val="20"/>
          <w:szCs w:val="20"/>
        </w:rPr>
        <w:t xml:space="preserve">, in this case, the Cl </w:t>
      </w:r>
      <w:r w:rsidRPr="007D1436">
        <w:rPr>
          <w:rFonts w:ascii="Arial" w:hAnsi="Arial" w:cs="Arial"/>
          <w:sz w:val="20"/>
          <w:szCs w:val="20"/>
        </w:rPr>
        <w:t>s orbitals which leads to better overlap with the central element centre and stronger bonds result.</w:t>
      </w:r>
    </w:p>
    <w:p w14:paraId="7F301CDC" w14:textId="17575C25" w:rsidR="00937945" w:rsidRDefault="000D4ED4" w:rsidP="009234E8">
      <w:pPr>
        <w:autoSpaceDE w:val="0"/>
        <w:autoSpaceDN w:val="0"/>
        <w:adjustRightInd w:val="0"/>
        <w:spacing w:after="120"/>
        <w:jc w:val="both"/>
        <w:rPr>
          <w:rFonts w:ascii="Arial" w:hAnsi="Arial" w:cs="Arial"/>
          <w:sz w:val="20"/>
          <w:szCs w:val="20"/>
        </w:rPr>
      </w:pPr>
      <w:r>
        <w:rPr>
          <w:rFonts w:ascii="Arial" w:hAnsi="Arial" w:cs="Arial"/>
          <w:sz w:val="20"/>
          <w:szCs w:val="20"/>
        </w:rPr>
        <w:t>It is also worth noting that thermally stable compounds containing the [AsCl</w:t>
      </w:r>
      <w:proofErr w:type="gramStart"/>
      <w:r w:rsidRPr="000D4ED4">
        <w:rPr>
          <w:rFonts w:ascii="Arial" w:hAnsi="Arial" w:cs="Arial"/>
          <w:sz w:val="20"/>
          <w:szCs w:val="20"/>
          <w:vertAlign w:val="subscript"/>
        </w:rPr>
        <w:t>4</w:t>
      </w:r>
      <w:r>
        <w:rPr>
          <w:rFonts w:ascii="Arial" w:hAnsi="Arial" w:cs="Arial"/>
          <w:sz w:val="20"/>
          <w:szCs w:val="20"/>
        </w:rPr>
        <w:t>]</w:t>
      </w:r>
      <w:r w:rsidRPr="000D4ED4">
        <w:rPr>
          <w:rFonts w:ascii="Arial" w:hAnsi="Arial" w:cs="Arial"/>
          <w:sz w:val="20"/>
          <w:szCs w:val="20"/>
          <w:vertAlign w:val="superscript"/>
        </w:rPr>
        <w:t>+</w:t>
      </w:r>
      <w:proofErr w:type="gramEnd"/>
      <w:r>
        <w:rPr>
          <w:rFonts w:ascii="Arial" w:hAnsi="Arial" w:cs="Arial"/>
          <w:sz w:val="20"/>
          <w:szCs w:val="20"/>
        </w:rPr>
        <w:t xml:space="preserve"> cation are known</w:t>
      </w:r>
      <w:r w:rsidR="00AF6B4E">
        <w:rPr>
          <w:rFonts w:ascii="Arial" w:hAnsi="Arial" w:cs="Arial"/>
          <w:sz w:val="20"/>
          <w:szCs w:val="20"/>
        </w:rPr>
        <w:t xml:space="preserve"> along with a range of organo-</w:t>
      </w:r>
      <w:proofErr w:type="spellStart"/>
      <w:r w:rsidR="00AF6B4E">
        <w:rPr>
          <w:rFonts w:ascii="Arial" w:hAnsi="Arial" w:cs="Arial"/>
          <w:sz w:val="20"/>
          <w:szCs w:val="20"/>
        </w:rPr>
        <w:t>arsonium</w:t>
      </w:r>
      <w:proofErr w:type="spellEnd"/>
      <w:r w:rsidR="00AF6B4E">
        <w:rPr>
          <w:rFonts w:ascii="Arial" w:hAnsi="Arial" w:cs="Arial"/>
          <w:sz w:val="20"/>
          <w:szCs w:val="20"/>
        </w:rPr>
        <w:t xml:space="preserve"> cations [AsR</w:t>
      </w:r>
      <w:r w:rsidR="00AF6B4E" w:rsidRPr="00AF6B4E">
        <w:rPr>
          <w:rFonts w:ascii="Arial" w:hAnsi="Arial" w:cs="Arial"/>
          <w:sz w:val="20"/>
          <w:szCs w:val="20"/>
          <w:vertAlign w:val="subscript"/>
        </w:rPr>
        <w:t>4</w:t>
      </w:r>
      <w:r w:rsidR="00AF6B4E">
        <w:rPr>
          <w:rFonts w:ascii="Arial" w:hAnsi="Arial" w:cs="Arial"/>
          <w:sz w:val="20"/>
          <w:szCs w:val="20"/>
        </w:rPr>
        <w:t>]</w:t>
      </w:r>
      <w:r w:rsidR="002F1F38">
        <w:rPr>
          <w:rFonts w:ascii="Arial" w:hAnsi="Arial" w:cs="Arial"/>
          <w:sz w:val="20"/>
          <w:szCs w:val="20"/>
          <w:vertAlign w:val="superscript"/>
        </w:rPr>
        <w:t>+</w:t>
      </w:r>
      <w:r w:rsidR="00AF6B4E">
        <w:rPr>
          <w:rFonts w:ascii="Arial" w:hAnsi="Arial" w:cs="Arial"/>
          <w:sz w:val="20"/>
          <w:szCs w:val="20"/>
        </w:rPr>
        <w:t>. Moreover, neutral organo-arsenic(V) compounds such as AsPh</w:t>
      </w:r>
      <w:r w:rsidR="00AF6B4E" w:rsidRPr="00AF6B4E">
        <w:rPr>
          <w:rFonts w:ascii="Arial" w:hAnsi="Arial" w:cs="Arial"/>
          <w:sz w:val="20"/>
          <w:szCs w:val="20"/>
          <w:vertAlign w:val="subscript"/>
        </w:rPr>
        <w:t>5</w:t>
      </w:r>
      <w:r w:rsidR="00AF6B4E">
        <w:rPr>
          <w:rFonts w:ascii="Arial" w:hAnsi="Arial" w:cs="Arial"/>
          <w:sz w:val="20"/>
          <w:szCs w:val="20"/>
        </w:rPr>
        <w:t xml:space="preserve"> are reasonably stable. An explanation for the instability of AsCl</w:t>
      </w:r>
      <w:r w:rsidR="00AF6B4E" w:rsidRPr="00AF6B4E">
        <w:rPr>
          <w:rFonts w:ascii="Arial" w:hAnsi="Arial" w:cs="Arial"/>
          <w:sz w:val="20"/>
          <w:szCs w:val="20"/>
          <w:vertAlign w:val="subscript"/>
        </w:rPr>
        <w:t>5</w:t>
      </w:r>
      <w:r w:rsidR="00AF6B4E">
        <w:rPr>
          <w:rFonts w:ascii="Arial" w:hAnsi="Arial" w:cs="Arial"/>
          <w:sz w:val="20"/>
          <w:szCs w:val="20"/>
        </w:rPr>
        <w:t xml:space="preserve"> </w:t>
      </w:r>
      <w:r w:rsidR="00AF6B4E" w:rsidRPr="00AF6B4E">
        <w:rPr>
          <w:rFonts w:ascii="Arial" w:hAnsi="Arial" w:cs="Arial"/>
          <w:i/>
          <w:iCs/>
          <w:sz w:val="20"/>
          <w:szCs w:val="20"/>
        </w:rPr>
        <w:t>vs</w:t>
      </w:r>
      <w:r w:rsidR="00AF6B4E">
        <w:rPr>
          <w:rFonts w:ascii="Arial" w:hAnsi="Arial" w:cs="Arial"/>
          <w:sz w:val="20"/>
          <w:szCs w:val="20"/>
        </w:rPr>
        <w:t xml:space="preserve"> AsPh</w:t>
      </w:r>
      <w:r w:rsidR="00AF6B4E" w:rsidRPr="00AF6B4E">
        <w:rPr>
          <w:rFonts w:ascii="Arial" w:hAnsi="Arial" w:cs="Arial"/>
          <w:sz w:val="20"/>
          <w:szCs w:val="20"/>
          <w:vertAlign w:val="subscript"/>
        </w:rPr>
        <w:t>5</w:t>
      </w:r>
      <w:r w:rsidR="00AF6B4E">
        <w:rPr>
          <w:rFonts w:ascii="Arial" w:hAnsi="Arial" w:cs="Arial"/>
          <w:sz w:val="20"/>
          <w:szCs w:val="20"/>
        </w:rPr>
        <w:t xml:space="preserve"> most likely has much in common with the explanation offered for the instability of PbCl</w:t>
      </w:r>
      <w:r w:rsidR="00AF6B4E" w:rsidRPr="00AF6B4E">
        <w:rPr>
          <w:rFonts w:ascii="Arial" w:hAnsi="Arial" w:cs="Arial"/>
          <w:sz w:val="20"/>
          <w:szCs w:val="20"/>
          <w:vertAlign w:val="subscript"/>
        </w:rPr>
        <w:t>4</w:t>
      </w:r>
      <w:r w:rsidR="00AF6B4E">
        <w:rPr>
          <w:rFonts w:ascii="Arial" w:hAnsi="Arial" w:cs="Arial"/>
          <w:sz w:val="20"/>
          <w:szCs w:val="20"/>
        </w:rPr>
        <w:t xml:space="preserve"> </w:t>
      </w:r>
      <w:r w:rsidR="00AF6B4E" w:rsidRPr="00AF6B4E">
        <w:rPr>
          <w:rFonts w:ascii="Arial" w:hAnsi="Arial" w:cs="Arial"/>
          <w:i/>
          <w:iCs/>
          <w:sz w:val="20"/>
          <w:szCs w:val="20"/>
        </w:rPr>
        <w:t>vs</w:t>
      </w:r>
      <w:r w:rsidR="00AF6B4E">
        <w:rPr>
          <w:rFonts w:ascii="Arial" w:hAnsi="Arial" w:cs="Arial"/>
          <w:sz w:val="20"/>
          <w:szCs w:val="20"/>
        </w:rPr>
        <w:t xml:space="preserve"> the much more stable PbEt</w:t>
      </w:r>
      <w:r w:rsidR="00AF6B4E" w:rsidRPr="00AF6B4E">
        <w:rPr>
          <w:rFonts w:ascii="Arial" w:hAnsi="Arial" w:cs="Arial"/>
          <w:sz w:val="20"/>
          <w:szCs w:val="20"/>
          <w:vertAlign w:val="subscript"/>
        </w:rPr>
        <w:t>4</w:t>
      </w:r>
      <w:r w:rsidR="00AF6B4E">
        <w:rPr>
          <w:rFonts w:ascii="Arial" w:hAnsi="Arial" w:cs="Arial"/>
          <w:sz w:val="20"/>
          <w:szCs w:val="20"/>
        </w:rPr>
        <w:t xml:space="preserve"> given on page</w:t>
      </w:r>
      <w:r w:rsidR="002F1F38">
        <w:rPr>
          <w:rFonts w:ascii="Arial" w:hAnsi="Arial" w:cs="Arial"/>
          <w:sz w:val="20"/>
          <w:szCs w:val="20"/>
        </w:rPr>
        <w:t>s 71-72 in Chapter 4.</w:t>
      </w:r>
    </w:p>
    <w:p w14:paraId="31408445" w14:textId="345A3DFC" w:rsidR="00D8229F" w:rsidRPr="006F7068" w:rsidRDefault="00D8229F" w:rsidP="00D8229F">
      <w:pPr>
        <w:autoSpaceDE w:val="0"/>
        <w:autoSpaceDN w:val="0"/>
        <w:adjustRightInd w:val="0"/>
        <w:spacing w:after="120"/>
        <w:jc w:val="both"/>
        <w:rPr>
          <w:rFonts w:ascii="Arial" w:hAnsi="Arial" w:cs="Arial"/>
          <w:sz w:val="20"/>
          <w:szCs w:val="20"/>
        </w:rPr>
      </w:pPr>
      <w:r>
        <w:rPr>
          <w:rFonts w:ascii="Arial" w:hAnsi="Arial" w:cs="Arial"/>
          <w:sz w:val="20"/>
          <w:szCs w:val="20"/>
        </w:rPr>
        <w:t xml:space="preserve">Two other examples of </w:t>
      </w:r>
      <w:proofErr w:type="gramStart"/>
      <w:r>
        <w:rPr>
          <w:rFonts w:ascii="Arial" w:hAnsi="Arial" w:cs="Arial"/>
          <w:sz w:val="20"/>
          <w:szCs w:val="20"/>
        </w:rPr>
        <w:t>As</w:t>
      </w:r>
      <w:proofErr w:type="gramEnd"/>
      <w:r>
        <w:rPr>
          <w:rFonts w:ascii="Arial" w:hAnsi="Arial" w:cs="Arial"/>
          <w:sz w:val="20"/>
          <w:szCs w:val="20"/>
        </w:rPr>
        <w:t xml:space="preserve">(V) compounds are worth </w:t>
      </w:r>
      <w:r w:rsidR="009B0D9C">
        <w:rPr>
          <w:rFonts w:ascii="Arial" w:hAnsi="Arial" w:cs="Arial"/>
          <w:sz w:val="20"/>
          <w:szCs w:val="20"/>
        </w:rPr>
        <w:t>highlighting</w:t>
      </w:r>
      <w:r>
        <w:rPr>
          <w:rFonts w:ascii="Arial" w:hAnsi="Arial" w:cs="Arial"/>
          <w:sz w:val="20"/>
          <w:szCs w:val="20"/>
        </w:rPr>
        <w:t xml:space="preserve"> here. In terms of thermal stability, </w:t>
      </w:r>
      <w:r w:rsidR="00937945" w:rsidRPr="007D1436">
        <w:rPr>
          <w:rFonts w:ascii="Arial" w:hAnsi="Arial" w:cs="Arial"/>
          <w:sz w:val="20"/>
          <w:szCs w:val="20"/>
        </w:rPr>
        <w:t>POCl</w:t>
      </w:r>
      <w:r w:rsidR="00937945" w:rsidRPr="007D1436">
        <w:rPr>
          <w:rFonts w:ascii="Arial" w:hAnsi="Arial" w:cs="Arial"/>
          <w:sz w:val="20"/>
          <w:szCs w:val="20"/>
          <w:vertAlign w:val="subscript"/>
        </w:rPr>
        <w:t>3</w:t>
      </w:r>
      <w:r w:rsidR="00937945" w:rsidRPr="007D1436">
        <w:rPr>
          <w:rFonts w:ascii="Arial" w:hAnsi="Arial" w:cs="Arial"/>
          <w:sz w:val="20"/>
          <w:szCs w:val="20"/>
        </w:rPr>
        <w:t xml:space="preserve"> </w:t>
      </w:r>
      <w:r>
        <w:rPr>
          <w:rFonts w:ascii="Arial" w:hAnsi="Arial" w:cs="Arial"/>
          <w:sz w:val="20"/>
          <w:szCs w:val="20"/>
        </w:rPr>
        <w:t xml:space="preserve">is </w:t>
      </w:r>
      <w:r w:rsidR="00937945" w:rsidRPr="007D1436">
        <w:rPr>
          <w:rFonts w:ascii="Arial" w:hAnsi="Arial" w:cs="Arial"/>
          <w:sz w:val="20"/>
          <w:szCs w:val="20"/>
        </w:rPr>
        <w:t xml:space="preserve">stable at room temperature </w:t>
      </w:r>
      <w:r>
        <w:rPr>
          <w:rFonts w:ascii="Arial" w:hAnsi="Arial" w:cs="Arial"/>
          <w:sz w:val="20"/>
          <w:szCs w:val="20"/>
        </w:rPr>
        <w:t>whereas</w:t>
      </w:r>
      <w:r w:rsidR="00937945" w:rsidRPr="007D1436">
        <w:rPr>
          <w:rFonts w:ascii="Arial" w:hAnsi="Arial" w:cs="Arial"/>
          <w:sz w:val="20"/>
          <w:szCs w:val="20"/>
        </w:rPr>
        <w:t xml:space="preserve"> AsOCl</w:t>
      </w:r>
      <w:r w:rsidR="00937945" w:rsidRPr="007D1436">
        <w:rPr>
          <w:rFonts w:ascii="Arial" w:hAnsi="Arial" w:cs="Arial"/>
          <w:sz w:val="20"/>
          <w:szCs w:val="20"/>
          <w:vertAlign w:val="subscript"/>
        </w:rPr>
        <w:t>3</w:t>
      </w:r>
      <w:r w:rsidR="00937945" w:rsidRPr="007D1436">
        <w:rPr>
          <w:rFonts w:ascii="Arial" w:hAnsi="Arial" w:cs="Arial"/>
          <w:sz w:val="20"/>
          <w:szCs w:val="20"/>
        </w:rPr>
        <w:t xml:space="preserve"> decomposes above 0˚C</w:t>
      </w:r>
      <w:r w:rsidR="00FF4B67" w:rsidRPr="007D1436">
        <w:rPr>
          <w:rFonts w:ascii="Arial" w:hAnsi="Arial" w:cs="Arial"/>
          <w:sz w:val="20"/>
          <w:szCs w:val="20"/>
        </w:rPr>
        <w:t xml:space="preserve">. </w:t>
      </w:r>
      <w:r>
        <w:rPr>
          <w:rFonts w:ascii="Arial" w:hAnsi="Arial" w:cs="Arial"/>
          <w:sz w:val="20"/>
          <w:szCs w:val="20"/>
        </w:rPr>
        <w:t>However, we can also consider the stability of oxidation states in terms of electrochemical data as we did for the heavier Group 13 elements Ga, In and Tl in Chapter 4 in relation to the inert pair effect. Thus, in this context, the arsenate anion [AsO</w:t>
      </w:r>
      <w:r w:rsidRPr="006403A1">
        <w:rPr>
          <w:rFonts w:ascii="Arial" w:hAnsi="Arial" w:cs="Arial"/>
          <w:sz w:val="20"/>
          <w:szCs w:val="20"/>
          <w:vertAlign w:val="subscript"/>
        </w:rPr>
        <w:t>4</w:t>
      </w:r>
      <w:r>
        <w:rPr>
          <w:rFonts w:ascii="Arial" w:hAnsi="Arial" w:cs="Arial"/>
          <w:sz w:val="20"/>
          <w:szCs w:val="20"/>
        </w:rPr>
        <w:t>]</w:t>
      </w:r>
      <w:r w:rsidRPr="006403A1">
        <w:rPr>
          <w:rFonts w:ascii="Arial" w:hAnsi="Arial" w:cs="Arial"/>
          <w:sz w:val="20"/>
          <w:szCs w:val="20"/>
          <w:vertAlign w:val="superscript"/>
        </w:rPr>
        <w:t>3–</w:t>
      </w:r>
      <w:r>
        <w:rPr>
          <w:rFonts w:ascii="Arial" w:hAnsi="Arial" w:cs="Arial"/>
          <w:sz w:val="20"/>
          <w:szCs w:val="20"/>
        </w:rPr>
        <w:t xml:space="preserve"> is observed to be much more oxidising than the corresponding phosphate anion </w:t>
      </w:r>
      <w:r w:rsidR="0011124C">
        <w:rPr>
          <w:rFonts w:ascii="Arial" w:hAnsi="Arial" w:cs="Arial"/>
          <w:sz w:val="20"/>
          <w:szCs w:val="20"/>
        </w:rPr>
        <w:t>[</w:t>
      </w:r>
      <w:r w:rsidRPr="0011124C">
        <w:rPr>
          <w:rFonts w:ascii="Arial" w:hAnsi="Arial" w:cs="Arial"/>
          <w:sz w:val="20"/>
          <w:szCs w:val="20"/>
        </w:rPr>
        <w:t>PO</w:t>
      </w:r>
      <w:r w:rsidRPr="0011124C">
        <w:rPr>
          <w:rFonts w:ascii="Arial" w:hAnsi="Arial" w:cs="Arial"/>
          <w:sz w:val="20"/>
          <w:szCs w:val="20"/>
          <w:vertAlign w:val="subscript"/>
        </w:rPr>
        <w:t>4</w:t>
      </w:r>
      <w:r w:rsidR="0011124C">
        <w:rPr>
          <w:rFonts w:ascii="Arial" w:hAnsi="Arial" w:cs="Arial"/>
          <w:sz w:val="20"/>
          <w:szCs w:val="20"/>
        </w:rPr>
        <w:t>]</w:t>
      </w:r>
      <w:r w:rsidRPr="0011124C">
        <w:rPr>
          <w:rFonts w:ascii="Arial" w:hAnsi="Arial" w:cs="Arial"/>
          <w:sz w:val="20"/>
          <w:szCs w:val="20"/>
          <w:vertAlign w:val="superscript"/>
        </w:rPr>
        <w:t>3</w:t>
      </w:r>
      <w:r w:rsidRPr="00D8229F">
        <w:rPr>
          <w:rFonts w:ascii="Arial" w:hAnsi="Arial" w:cs="Arial"/>
          <w:sz w:val="20"/>
          <w:szCs w:val="20"/>
          <w:vertAlign w:val="superscript"/>
        </w:rPr>
        <w:t>–</w:t>
      </w:r>
      <w:r>
        <w:rPr>
          <w:rFonts w:ascii="Arial" w:hAnsi="Arial" w:cs="Arial"/>
          <w:sz w:val="20"/>
          <w:szCs w:val="20"/>
        </w:rPr>
        <w:t xml:space="preserve"> as is </w:t>
      </w:r>
      <w:r w:rsidR="0011124C">
        <w:rPr>
          <w:rFonts w:ascii="Arial" w:hAnsi="Arial" w:cs="Arial"/>
          <w:sz w:val="20"/>
          <w:szCs w:val="20"/>
        </w:rPr>
        <w:t>evident</w:t>
      </w:r>
      <w:r>
        <w:rPr>
          <w:rFonts w:ascii="Arial" w:hAnsi="Arial" w:cs="Arial"/>
          <w:sz w:val="20"/>
          <w:szCs w:val="20"/>
        </w:rPr>
        <w:t xml:space="preserve"> from the standard reduction potentials shown in Eqns. (1) and (2)</w:t>
      </w:r>
      <w:r w:rsidR="00367F5B">
        <w:rPr>
          <w:rFonts w:ascii="Arial" w:hAnsi="Arial" w:cs="Arial"/>
          <w:sz w:val="20"/>
          <w:szCs w:val="20"/>
        </w:rPr>
        <w:t>, the more positive the potential, the more easily the species in question is reduced</w:t>
      </w:r>
      <w:r w:rsidR="00DE4784">
        <w:rPr>
          <w:rFonts w:ascii="Arial" w:hAnsi="Arial" w:cs="Arial"/>
          <w:sz w:val="20"/>
          <w:szCs w:val="20"/>
        </w:rPr>
        <w:t xml:space="preserve"> to a lower oxidation state</w:t>
      </w:r>
      <w:r w:rsidR="000D662A">
        <w:rPr>
          <w:rFonts w:ascii="Arial" w:hAnsi="Arial" w:cs="Arial"/>
          <w:sz w:val="20"/>
          <w:szCs w:val="20"/>
        </w:rPr>
        <w:t xml:space="preserve">, </w:t>
      </w:r>
      <w:proofErr w:type="gramStart"/>
      <w:r w:rsidR="000D662A">
        <w:rPr>
          <w:rFonts w:ascii="Arial" w:hAnsi="Arial" w:cs="Arial"/>
          <w:sz w:val="20"/>
          <w:szCs w:val="20"/>
        </w:rPr>
        <w:t>i.e.</w:t>
      </w:r>
      <w:proofErr w:type="gramEnd"/>
      <w:r w:rsidR="000D662A">
        <w:rPr>
          <w:rFonts w:ascii="Arial" w:hAnsi="Arial" w:cs="Arial"/>
          <w:sz w:val="20"/>
          <w:szCs w:val="20"/>
        </w:rPr>
        <w:t xml:space="preserve"> the better it is as an oxidising agent</w:t>
      </w:r>
      <w:r>
        <w:rPr>
          <w:rFonts w:ascii="Arial" w:hAnsi="Arial" w:cs="Arial"/>
          <w:sz w:val="20"/>
          <w:szCs w:val="20"/>
        </w:rPr>
        <w:t>.</w:t>
      </w:r>
      <w:r w:rsidR="00744AB6">
        <w:rPr>
          <w:rFonts w:ascii="Arial" w:hAnsi="Arial" w:cs="Arial"/>
          <w:sz w:val="20"/>
          <w:szCs w:val="20"/>
          <w:vertAlign w:val="superscript"/>
        </w:rPr>
        <w:t>3</w:t>
      </w:r>
      <w:r>
        <w:rPr>
          <w:rFonts w:ascii="Arial" w:hAnsi="Arial" w:cs="Arial"/>
          <w:sz w:val="20"/>
          <w:szCs w:val="20"/>
        </w:rPr>
        <w:t xml:space="preserve"> </w:t>
      </w:r>
      <w:r w:rsidR="009B0D9C">
        <w:rPr>
          <w:rFonts w:ascii="Arial" w:hAnsi="Arial" w:cs="Arial"/>
          <w:sz w:val="20"/>
          <w:szCs w:val="20"/>
        </w:rPr>
        <w:t xml:space="preserve">Indeed, </w:t>
      </w:r>
      <w:r>
        <w:rPr>
          <w:rFonts w:ascii="Arial" w:hAnsi="Arial" w:cs="Arial"/>
          <w:sz w:val="20"/>
          <w:szCs w:val="20"/>
        </w:rPr>
        <w:t>H</w:t>
      </w:r>
      <w:r w:rsidRPr="00DA35FD">
        <w:rPr>
          <w:rFonts w:ascii="Arial" w:hAnsi="Arial" w:cs="Arial"/>
          <w:sz w:val="20"/>
          <w:szCs w:val="20"/>
          <w:vertAlign w:val="subscript"/>
        </w:rPr>
        <w:t>3</w:t>
      </w:r>
      <w:r>
        <w:rPr>
          <w:rFonts w:ascii="Arial" w:hAnsi="Arial" w:cs="Arial"/>
          <w:sz w:val="20"/>
          <w:szCs w:val="20"/>
        </w:rPr>
        <w:t>PO</w:t>
      </w:r>
      <w:r w:rsidRPr="00DA5597">
        <w:rPr>
          <w:rFonts w:ascii="Arial" w:hAnsi="Arial" w:cs="Arial"/>
          <w:sz w:val="20"/>
          <w:szCs w:val="20"/>
          <w:vertAlign w:val="subscript"/>
        </w:rPr>
        <w:t>4</w:t>
      </w:r>
      <w:r>
        <w:rPr>
          <w:rFonts w:ascii="Arial" w:hAnsi="Arial" w:cs="Arial"/>
          <w:sz w:val="20"/>
          <w:szCs w:val="20"/>
        </w:rPr>
        <w:t xml:space="preserve"> is not an oxidising agent under normal </w:t>
      </w:r>
      <w:r w:rsidRPr="006F7068">
        <w:rPr>
          <w:rFonts w:ascii="Arial" w:hAnsi="Arial" w:cs="Arial"/>
          <w:sz w:val="20"/>
          <w:szCs w:val="20"/>
        </w:rPr>
        <w:t>conditions</w:t>
      </w:r>
      <w:r w:rsidR="006F7068">
        <w:rPr>
          <w:rFonts w:ascii="Arial" w:hAnsi="Arial" w:cs="Arial"/>
          <w:sz w:val="20"/>
          <w:szCs w:val="20"/>
        </w:rPr>
        <w:t>.</w:t>
      </w:r>
    </w:p>
    <w:p w14:paraId="402ACFF6" w14:textId="6B76F994" w:rsidR="00DA35FD" w:rsidRDefault="00DA35FD" w:rsidP="00D8229F">
      <w:pPr>
        <w:autoSpaceDE w:val="0"/>
        <w:autoSpaceDN w:val="0"/>
        <w:adjustRightInd w:val="0"/>
        <w:spacing w:after="120"/>
        <w:jc w:val="right"/>
        <w:rPr>
          <w:rFonts w:ascii="Arial" w:hAnsi="Arial" w:cs="Arial"/>
          <w:sz w:val="20"/>
          <w:szCs w:val="20"/>
        </w:rPr>
      </w:pPr>
      <w:r>
        <w:rPr>
          <w:rFonts w:ascii="Arial" w:hAnsi="Arial" w:cs="Arial"/>
          <w:sz w:val="20"/>
          <w:szCs w:val="20"/>
        </w:rPr>
        <w:t>H</w:t>
      </w:r>
      <w:r w:rsidRPr="00DA35FD">
        <w:rPr>
          <w:rFonts w:ascii="Arial" w:hAnsi="Arial" w:cs="Arial"/>
          <w:sz w:val="20"/>
          <w:szCs w:val="20"/>
          <w:vertAlign w:val="subscript"/>
        </w:rPr>
        <w:t>3</w:t>
      </w:r>
      <w:r>
        <w:rPr>
          <w:rFonts w:ascii="Arial" w:hAnsi="Arial" w:cs="Arial"/>
          <w:sz w:val="20"/>
          <w:szCs w:val="20"/>
        </w:rPr>
        <w:t>AsO</w:t>
      </w:r>
      <w:proofErr w:type="gramStart"/>
      <w:r w:rsidRPr="00DA5597">
        <w:rPr>
          <w:rFonts w:ascii="Arial" w:hAnsi="Arial" w:cs="Arial"/>
          <w:sz w:val="20"/>
          <w:szCs w:val="20"/>
          <w:vertAlign w:val="subscript"/>
        </w:rPr>
        <w:t>4</w:t>
      </w:r>
      <w:r>
        <w:rPr>
          <w:rFonts w:ascii="Arial" w:hAnsi="Arial" w:cs="Arial"/>
          <w:sz w:val="20"/>
          <w:szCs w:val="20"/>
        </w:rPr>
        <w:t xml:space="preserve">  +</w:t>
      </w:r>
      <w:proofErr w:type="gramEnd"/>
      <w:r>
        <w:rPr>
          <w:rFonts w:ascii="Arial" w:hAnsi="Arial" w:cs="Arial"/>
          <w:sz w:val="20"/>
          <w:szCs w:val="20"/>
        </w:rPr>
        <w:t xml:space="preserve">  2H</w:t>
      </w:r>
      <w:r w:rsidRPr="00DA5597">
        <w:rPr>
          <w:rFonts w:ascii="Arial" w:hAnsi="Arial" w:cs="Arial"/>
          <w:sz w:val="20"/>
          <w:szCs w:val="20"/>
          <w:vertAlign w:val="superscript"/>
        </w:rPr>
        <w:t>+</w:t>
      </w:r>
      <w:r>
        <w:rPr>
          <w:rFonts w:ascii="Arial" w:hAnsi="Arial" w:cs="Arial"/>
          <w:sz w:val="20"/>
          <w:szCs w:val="20"/>
        </w:rPr>
        <w:t xml:space="preserve">  +  2e</w:t>
      </w:r>
      <w:r w:rsidRPr="00DA5597">
        <w:rPr>
          <w:rFonts w:ascii="Arial" w:hAnsi="Arial" w:cs="Arial"/>
          <w:sz w:val="20"/>
          <w:szCs w:val="20"/>
          <w:vertAlign w:val="superscript"/>
        </w:rPr>
        <w:t>–</w:t>
      </w:r>
      <w:r>
        <w:rPr>
          <w:rFonts w:ascii="Arial" w:hAnsi="Arial" w:cs="Arial"/>
          <w:sz w:val="20"/>
          <w:szCs w:val="20"/>
        </w:rPr>
        <w:t xml:space="preserve">  </w:t>
      </w:r>
      <w:r w:rsidRPr="00045186">
        <w:rPr>
          <w:rFonts w:ascii="Cambria Math" w:eastAsia="Times New Roman" w:hAnsi="Cambria Math" w:cs="Cambria Math"/>
          <w:color w:val="333333"/>
          <w:sz w:val="21"/>
          <w:szCs w:val="21"/>
          <w:shd w:val="clear" w:color="auto" w:fill="FFFFFF"/>
          <w:lang w:eastAsia="en-GB"/>
        </w:rPr>
        <w:t>⇌</w:t>
      </w:r>
      <w:r>
        <w:rPr>
          <w:rFonts w:ascii="Arial" w:hAnsi="Arial" w:cs="Arial"/>
          <w:sz w:val="20"/>
          <w:szCs w:val="20"/>
        </w:rPr>
        <w:t xml:space="preserve">  H</w:t>
      </w:r>
      <w:r w:rsidRPr="00DA35FD">
        <w:rPr>
          <w:rFonts w:ascii="Arial" w:hAnsi="Arial" w:cs="Arial"/>
          <w:sz w:val="20"/>
          <w:szCs w:val="20"/>
          <w:vertAlign w:val="subscript"/>
        </w:rPr>
        <w:t>3</w:t>
      </w:r>
      <w:r>
        <w:rPr>
          <w:rFonts w:ascii="Arial" w:hAnsi="Arial" w:cs="Arial"/>
          <w:sz w:val="20"/>
          <w:szCs w:val="20"/>
        </w:rPr>
        <w:t>AsO</w:t>
      </w:r>
      <w:r>
        <w:rPr>
          <w:rFonts w:ascii="Arial" w:hAnsi="Arial" w:cs="Arial"/>
          <w:sz w:val="20"/>
          <w:szCs w:val="20"/>
          <w:vertAlign w:val="subscript"/>
        </w:rPr>
        <w:t>3</w:t>
      </w:r>
      <w:r>
        <w:rPr>
          <w:rFonts w:ascii="Arial" w:hAnsi="Arial" w:cs="Arial"/>
          <w:sz w:val="20"/>
          <w:szCs w:val="20"/>
        </w:rPr>
        <w:t xml:space="preserve">  +  H</w:t>
      </w:r>
      <w:r w:rsidRPr="00DA5597">
        <w:rPr>
          <w:rFonts w:ascii="Arial" w:hAnsi="Arial" w:cs="Arial"/>
          <w:sz w:val="20"/>
          <w:szCs w:val="20"/>
          <w:vertAlign w:val="subscript"/>
        </w:rPr>
        <w:t>2</w:t>
      </w:r>
      <w:r>
        <w:rPr>
          <w:rFonts w:ascii="Arial" w:hAnsi="Arial" w:cs="Arial"/>
          <w:sz w:val="20"/>
          <w:szCs w:val="20"/>
        </w:rPr>
        <w:t>O</w:t>
      </w:r>
      <w:r>
        <w:rPr>
          <w:rFonts w:ascii="Arial" w:hAnsi="Arial" w:cs="Arial"/>
          <w:sz w:val="20"/>
          <w:szCs w:val="20"/>
        </w:rPr>
        <w:tab/>
      </w:r>
      <w:r>
        <w:rPr>
          <w:rFonts w:ascii="Arial" w:hAnsi="Arial" w:cs="Arial"/>
          <w:sz w:val="20"/>
          <w:szCs w:val="20"/>
        </w:rPr>
        <w:tab/>
      </w:r>
      <w:proofErr w:type="spellStart"/>
      <w:r w:rsidR="006F7068">
        <w:rPr>
          <w:rFonts w:ascii="Arial" w:hAnsi="Arial" w:cs="Arial"/>
          <w:i/>
          <w:iCs/>
          <w:sz w:val="20"/>
          <w:szCs w:val="20"/>
        </w:rPr>
        <w:t>E</w:t>
      </w:r>
      <w:r w:rsidR="006F7068" w:rsidRPr="00DA5597">
        <w:rPr>
          <w:rFonts w:ascii="Arial" w:hAnsi="Arial" w:cs="Arial"/>
          <w:sz w:val="20"/>
          <w:szCs w:val="20"/>
          <w:vertAlign w:val="superscript"/>
        </w:rPr>
        <w:t>o</w:t>
      </w:r>
      <w:proofErr w:type="spellEnd"/>
      <w:r>
        <w:rPr>
          <w:rFonts w:ascii="Arial" w:hAnsi="Arial" w:cs="Arial"/>
          <w:sz w:val="20"/>
          <w:szCs w:val="20"/>
        </w:rPr>
        <w:t xml:space="preserve"> = +0.56</w:t>
      </w:r>
      <w:r w:rsidR="00164B5B">
        <w:rPr>
          <w:rFonts w:ascii="Arial" w:hAnsi="Arial" w:cs="Arial"/>
          <w:sz w:val="20"/>
          <w:szCs w:val="20"/>
        </w:rPr>
        <w:t>0</w:t>
      </w:r>
      <w:r>
        <w:rPr>
          <w:rFonts w:ascii="Arial" w:hAnsi="Arial" w:cs="Arial"/>
          <w:sz w:val="20"/>
          <w:szCs w:val="20"/>
        </w:rPr>
        <w:t xml:space="preserve"> V</w:t>
      </w:r>
      <w:r w:rsidR="00D8229F">
        <w:rPr>
          <w:rFonts w:ascii="Arial" w:hAnsi="Arial" w:cs="Arial"/>
          <w:sz w:val="20"/>
          <w:szCs w:val="20"/>
        </w:rPr>
        <w:tab/>
      </w:r>
      <w:r w:rsidR="00D8229F">
        <w:rPr>
          <w:rFonts w:ascii="Arial" w:hAnsi="Arial" w:cs="Arial"/>
          <w:sz w:val="20"/>
          <w:szCs w:val="20"/>
        </w:rPr>
        <w:tab/>
        <w:t>(1)</w:t>
      </w:r>
    </w:p>
    <w:p w14:paraId="004AEC93" w14:textId="6579CA1E" w:rsidR="00EF3EB5" w:rsidRDefault="00D8229F" w:rsidP="00D8229F">
      <w:pPr>
        <w:autoSpaceDE w:val="0"/>
        <w:autoSpaceDN w:val="0"/>
        <w:adjustRightInd w:val="0"/>
        <w:spacing w:after="120"/>
        <w:jc w:val="right"/>
        <w:rPr>
          <w:rFonts w:ascii="Arial" w:hAnsi="Arial" w:cs="Arial"/>
          <w:sz w:val="20"/>
          <w:szCs w:val="20"/>
        </w:rPr>
      </w:pPr>
      <w:r>
        <w:rPr>
          <w:rFonts w:ascii="Arial" w:hAnsi="Arial" w:cs="Arial"/>
          <w:sz w:val="20"/>
          <w:szCs w:val="20"/>
        </w:rPr>
        <w:t xml:space="preserve">  </w:t>
      </w:r>
      <w:r w:rsidR="00EF3EB5">
        <w:rPr>
          <w:rFonts w:ascii="Arial" w:hAnsi="Arial" w:cs="Arial"/>
          <w:sz w:val="20"/>
          <w:szCs w:val="20"/>
        </w:rPr>
        <w:t>H</w:t>
      </w:r>
      <w:r w:rsidR="00EF3EB5" w:rsidRPr="00DA35FD">
        <w:rPr>
          <w:rFonts w:ascii="Arial" w:hAnsi="Arial" w:cs="Arial"/>
          <w:sz w:val="20"/>
          <w:szCs w:val="20"/>
          <w:vertAlign w:val="subscript"/>
        </w:rPr>
        <w:t>3</w:t>
      </w:r>
      <w:r w:rsidR="00EF3EB5">
        <w:rPr>
          <w:rFonts w:ascii="Arial" w:hAnsi="Arial" w:cs="Arial"/>
          <w:sz w:val="20"/>
          <w:szCs w:val="20"/>
        </w:rPr>
        <w:t>PO</w:t>
      </w:r>
      <w:proofErr w:type="gramStart"/>
      <w:r w:rsidR="00EF3EB5" w:rsidRPr="00DA5597">
        <w:rPr>
          <w:rFonts w:ascii="Arial" w:hAnsi="Arial" w:cs="Arial"/>
          <w:sz w:val="20"/>
          <w:szCs w:val="20"/>
          <w:vertAlign w:val="subscript"/>
        </w:rPr>
        <w:t>4</w:t>
      </w:r>
      <w:r w:rsidR="00EF3EB5">
        <w:rPr>
          <w:rFonts w:ascii="Arial" w:hAnsi="Arial" w:cs="Arial"/>
          <w:sz w:val="20"/>
          <w:szCs w:val="20"/>
        </w:rPr>
        <w:t xml:space="preserve">  +</w:t>
      </w:r>
      <w:proofErr w:type="gramEnd"/>
      <w:r w:rsidR="00EF3EB5">
        <w:rPr>
          <w:rFonts w:ascii="Arial" w:hAnsi="Arial" w:cs="Arial"/>
          <w:sz w:val="20"/>
          <w:szCs w:val="20"/>
        </w:rPr>
        <w:t xml:space="preserve">  2H</w:t>
      </w:r>
      <w:r w:rsidR="00EF3EB5" w:rsidRPr="00DA5597">
        <w:rPr>
          <w:rFonts w:ascii="Arial" w:hAnsi="Arial" w:cs="Arial"/>
          <w:sz w:val="20"/>
          <w:szCs w:val="20"/>
          <w:vertAlign w:val="superscript"/>
        </w:rPr>
        <w:t>+</w:t>
      </w:r>
      <w:r w:rsidR="00EF3EB5">
        <w:rPr>
          <w:rFonts w:ascii="Arial" w:hAnsi="Arial" w:cs="Arial"/>
          <w:sz w:val="20"/>
          <w:szCs w:val="20"/>
        </w:rPr>
        <w:t xml:space="preserve">  +  2e</w:t>
      </w:r>
      <w:r w:rsidR="00EF3EB5" w:rsidRPr="00DA5597">
        <w:rPr>
          <w:rFonts w:ascii="Arial" w:hAnsi="Arial" w:cs="Arial"/>
          <w:sz w:val="20"/>
          <w:szCs w:val="20"/>
          <w:vertAlign w:val="superscript"/>
        </w:rPr>
        <w:t>–</w:t>
      </w:r>
      <w:r w:rsidR="00EF3EB5">
        <w:rPr>
          <w:rFonts w:ascii="Arial" w:hAnsi="Arial" w:cs="Arial"/>
          <w:sz w:val="20"/>
          <w:szCs w:val="20"/>
        </w:rPr>
        <w:t xml:space="preserve">  </w:t>
      </w:r>
      <w:r w:rsidR="00EF3EB5" w:rsidRPr="00045186">
        <w:rPr>
          <w:rFonts w:ascii="Cambria Math" w:eastAsia="Times New Roman" w:hAnsi="Cambria Math" w:cs="Cambria Math"/>
          <w:color w:val="333333"/>
          <w:sz w:val="21"/>
          <w:szCs w:val="21"/>
          <w:shd w:val="clear" w:color="auto" w:fill="FFFFFF"/>
          <w:lang w:eastAsia="en-GB"/>
        </w:rPr>
        <w:t>⇌</w:t>
      </w:r>
      <w:r w:rsidR="00EF3EB5">
        <w:rPr>
          <w:rFonts w:ascii="Arial" w:hAnsi="Arial" w:cs="Arial"/>
          <w:sz w:val="20"/>
          <w:szCs w:val="20"/>
        </w:rPr>
        <w:t xml:space="preserve">  H</w:t>
      </w:r>
      <w:r w:rsidR="00EF3EB5" w:rsidRPr="00DA35FD">
        <w:rPr>
          <w:rFonts w:ascii="Arial" w:hAnsi="Arial" w:cs="Arial"/>
          <w:sz w:val="20"/>
          <w:szCs w:val="20"/>
          <w:vertAlign w:val="subscript"/>
        </w:rPr>
        <w:t>3</w:t>
      </w:r>
      <w:r w:rsidR="00EF3EB5">
        <w:rPr>
          <w:rFonts w:ascii="Arial" w:hAnsi="Arial" w:cs="Arial"/>
          <w:sz w:val="20"/>
          <w:szCs w:val="20"/>
        </w:rPr>
        <w:t>PO</w:t>
      </w:r>
      <w:r w:rsidR="00EF3EB5">
        <w:rPr>
          <w:rFonts w:ascii="Arial" w:hAnsi="Arial" w:cs="Arial"/>
          <w:sz w:val="20"/>
          <w:szCs w:val="20"/>
          <w:vertAlign w:val="subscript"/>
        </w:rPr>
        <w:t>3</w:t>
      </w:r>
      <w:r w:rsidR="00EF3EB5">
        <w:rPr>
          <w:rFonts w:ascii="Arial" w:hAnsi="Arial" w:cs="Arial"/>
          <w:sz w:val="20"/>
          <w:szCs w:val="20"/>
        </w:rPr>
        <w:t xml:space="preserve">  +  H</w:t>
      </w:r>
      <w:r w:rsidR="00EF3EB5" w:rsidRPr="00DA5597">
        <w:rPr>
          <w:rFonts w:ascii="Arial" w:hAnsi="Arial" w:cs="Arial"/>
          <w:sz w:val="20"/>
          <w:szCs w:val="20"/>
          <w:vertAlign w:val="subscript"/>
        </w:rPr>
        <w:t>2</w:t>
      </w:r>
      <w:r w:rsidR="00EF3EB5">
        <w:rPr>
          <w:rFonts w:ascii="Arial" w:hAnsi="Arial" w:cs="Arial"/>
          <w:sz w:val="20"/>
          <w:szCs w:val="20"/>
        </w:rPr>
        <w:t>O</w:t>
      </w:r>
      <w:r w:rsidR="00EF3EB5">
        <w:rPr>
          <w:rFonts w:ascii="Arial" w:hAnsi="Arial" w:cs="Arial"/>
          <w:sz w:val="20"/>
          <w:szCs w:val="20"/>
        </w:rPr>
        <w:tab/>
      </w:r>
      <w:r w:rsidR="00EF3EB5">
        <w:rPr>
          <w:rFonts w:ascii="Arial" w:hAnsi="Arial" w:cs="Arial"/>
          <w:sz w:val="20"/>
          <w:szCs w:val="20"/>
        </w:rPr>
        <w:tab/>
      </w:r>
      <w:proofErr w:type="spellStart"/>
      <w:r w:rsidR="00EF3EB5" w:rsidRPr="00DA5597">
        <w:rPr>
          <w:rFonts w:ascii="Arial" w:hAnsi="Arial" w:cs="Arial"/>
          <w:i/>
          <w:iCs/>
          <w:sz w:val="20"/>
          <w:szCs w:val="20"/>
        </w:rPr>
        <w:t>E</w:t>
      </w:r>
      <w:r w:rsidR="00EF3EB5" w:rsidRPr="00DA5597">
        <w:rPr>
          <w:rFonts w:ascii="Arial" w:hAnsi="Arial" w:cs="Arial"/>
          <w:sz w:val="20"/>
          <w:szCs w:val="20"/>
          <w:vertAlign w:val="superscript"/>
        </w:rPr>
        <w:t>o</w:t>
      </w:r>
      <w:proofErr w:type="spellEnd"/>
      <w:r w:rsidR="00EF3EB5">
        <w:rPr>
          <w:rFonts w:ascii="Arial" w:hAnsi="Arial" w:cs="Arial"/>
          <w:sz w:val="20"/>
          <w:szCs w:val="20"/>
        </w:rPr>
        <w:t xml:space="preserve"> = –0.2</w:t>
      </w:r>
      <w:r w:rsidR="00164B5B">
        <w:rPr>
          <w:rFonts w:ascii="Arial" w:hAnsi="Arial" w:cs="Arial"/>
          <w:sz w:val="20"/>
          <w:szCs w:val="20"/>
        </w:rPr>
        <w:t>76</w:t>
      </w:r>
      <w:r w:rsidR="00EF3EB5">
        <w:rPr>
          <w:rFonts w:ascii="Arial" w:hAnsi="Arial" w:cs="Arial"/>
          <w:sz w:val="20"/>
          <w:szCs w:val="20"/>
        </w:rPr>
        <w:t xml:space="preserve"> V</w:t>
      </w:r>
      <w:r>
        <w:rPr>
          <w:rFonts w:ascii="Arial" w:hAnsi="Arial" w:cs="Arial"/>
          <w:sz w:val="20"/>
          <w:szCs w:val="20"/>
        </w:rPr>
        <w:tab/>
      </w:r>
      <w:r>
        <w:rPr>
          <w:rFonts w:ascii="Arial" w:hAnsi="Arial" w:cs="Arial"/>
          <w:sz w:val="20"/>
          <w:szCs w:val="20"/>
        </w:rPr>
        <w:tab/>
        <w:t>(2)</w:t>
      </w:r>
    </w:p>
    <w:p w14:paraId="571CD81D" w14:textId="472CA6DC" w:rsidR="00A067FC" w:rsidRDefault="00A067FC" w:rsidP="00A067FC">
      <w:pPr>
        <w:autoSpaceDE w:val="0"/>
        <w:autoSpaceDN w:val="0"/>
        <w:adjustRightInd w:val="0"/>
        <w:spacing w:after="120"/>
        <w:jc w:val="both"/>
        <w:rPr>
          <w:rFonts w:ascii="Arial" w:hAnsi="Arial" w:cs="Arial"/>
          <w:b/>
          <w:bCs/>
          <w:i/>
          <w:iCs/>
          <w:sz w:val="20"/>
          <w:szCs w:val="20"/>
        </w:rPr>
      </w:pPr>
      <w:proofErr w:type="gramStart"/>
      <w:r>
        <w:rPr>
          <w:rFonts w:ascii="Arial" w:hAnsi="Arial" w:cs="Arial"/>
          <w:b/>
          <w:bCs/>
          <w:i/>
          <w:iCs/>
          <w:sz w:val="20"/>
          <w:szCs w:val="20"/>
        </w:rPr>
        <w:t>Selenium</w:t>
      </w:r>
      <w:r w:rsidRPr="00A46EDE">
        <w:rPr>
          <w:rFonts w:ascii="Arial" w:hAnsi="Arial" w:cs="Arial"/>
          <w:b/>
          <w:bCs/>
          <w:i/>
          <w:iCs/>
          <w:sz w:val="20"/>
          <w:szCs w:val="20"/>
        </w:rPr>
        <w:t>(</w:t>
      </w:r>
      <w:proofErr w:type="gramEnd"/>
      <w:r w:rsidRPr="00A46EDE">
        <w:rPr>
          <w:rFonts w:ascii="Arial" w:hAnsi="Arial" w:cs="Arial"/>
          <w:b/>
          <w:bCs/>
          <w:i/>
          <w:iCs/>
          <w:sz w:val="20"/>
          <w:szCs w:val="20"/>
        </w:rPr>
        <w:t>V</w:t>
      </w:r>
      <w:r>
        <w:rPr>
          <w:rFonts w:ascii="Arial" w:hAnsi="Arial" w:cs="Arial"/>
          <w:b/>
          <w:bCs/>
          <w:i/>
          <w:iCs/>
          <w:sz w:val="20"/>
          <w:szCs w:val="20"/>
        </w:rPr>
        <w:t>I</w:t>
      </w:r>
      <w:r w:rsidRPr="00A46EDE">
        <w:rPr>
          <w:rFonts w:ascii="Arial" w:hAnsi="Arial" w:cs="Arial"/>
          <w:b/>
          <w:bCs/>
          <w:i/>
          <w:iCs/>
          <w:sz w:val="20"/>
          <w:szCs w:val="20"/>
        </w:rPr>
        <w:t xml:space="preserve">) or </w:t>
      </w:r>
      <w:r>
        <w:rPr>
          <w:rFonts w:ascii="Arial" w:hAnsi="Arial" w:cs="Arial"/>
          <w:b/>
          <w:bCs/>
          <w:i/>
          <w:iCs/>
          <w:sz w:val="20"/>
          <w:szCs w:val="20"/>
        </w:rPr>
        <w:t>hex</w:t>
      </w:r>
      <w:r w:rsidRPr="00A46EDE">
        <w:rPr>
          <w:rFonts w:ascii="Arial" w:hAnsi="Arial" w:cs="Arial"/>
          <w:b/>
          <w:bCs/>
          <w:i/>
          <w:iCs/>
          <w:sz w:val="20"/>
          <w:szCs w:val="20"/>
        </w:rPr>
        <w:t xml:space="preserve">avalent </w:t>
      </w:r>
      <w:r>
        <w:rPr>
          <w:rFonts w:ascii="Arial" w:hAnsi="Arial" w:cs="Arial"/>
          <w:b/>
          <w:bCs/>
          <w:i/>
          <w:iCs/>
          <w:sz w:val="20"/>
          <w:szCs w:val="20"/>
        </w:rPr>
        <w:t>selenium</w:t>
      </w:r>
    </w:p>
    <w:p w14:paraId="1061F57C" w14:textId="6807EBE2" w:rsidR="00D8229F" w:rsidRDefault="00665877" w:rsidP="009234E8">
      <w:pPr>
        <w:autoSpaceDE w:val="0"/>
        <w:autoSpaceDN w:val="0"/>
        <w:adjustRightInd w:val="0"/>
        <w:spacing w:after="120"/>
        <w:jc w:val="both"/>
        <w:rPr>
          <w:rFonts w:ascii="Arial" w:hAnsi="Arial" w:cs="Arial"/>
          <w:sz w:val="20"/>
          <w:szCs w:val="20"/>
        </w:rPr>
      </w:pPr>
      <w:r>
        <w:rPr>
          <w:rFonts w:ascii="Arial" w:hAnsi="Arial" w:cs="Arial"/>
          <w:sz w:val="20"/>
          <w:szCs w:val="20"/>
        </w:rPr>
        <w:t>With regard to</w:t>
      </w:r>
      <w:r w:rsidR="00D8229F">
        <w:rPr>
          <w:rFonts w:ascii="Arial" w:hAnsi="Arial" w:cs="Arial"/>
          <w:sz w:val="20"/>
          <w:szCs w:val="20"/>
        </w:rPr>
        <w:t xml:space="preserve"> </w:t>
      </w:r>
      <w:proofErr w:type="gramStart"/>
      <w:r>
        <w:rPr>
          <w:rFonts w:ascii="Arial" w:hAnsi="Arial" w:cs="Arial"/>
          <w:sz w:val="20"/>
          <w:szCs w:val="20"/>
        </w:rPr>
        <w:t>Se(</w:t>
      </w:r>
      <w:proofErr w:type="gramEnd"/>
      <w:r>
        <w:rPr>
          <w:rFonts w:ascii="Arial" w:hAnsi="Arial" w:cs="Arial"/>
          <w:sz w:val="20"/>
          <w:szCs w:val="20"/>
        </w:rPr>
        <w:t>VI)</w:t>
      </w:r>
      <w:r w:rsidR="00D8229F">
        <w:rPr>
          <w:rFonts w:ascii="Arial" w:hAnsi="Arial" w:cs="Arial"/>
          <w:sz w:val="20"/>
          <w:szCs w:val="20"/>
        </w:rPr>
        <w:t xml:space="preserve"> chemistry, it is illuminating to consider the standard enthalpies of formation of the trioxides and the dioxides. These data are collect</w:t>
      </w:r>
      <w:r w:rsidR="005A7DB4">
        <w:rPr>
          <w:rFonts w:ascii="Arial" w:hAnsi="Arial" w:cs="Arial"/>
          <w:sz w:val="20"/>
          <w:szCs w:val="20"/>
        </w:rPr>
        <w:t>ed</w:t>
      </w:r>
      <w:r w:rsidR="00D8229F">
        <w:rPr>
          <w:rFonts w:ascii="Arial" w:hAnsi="Arial" w:cs="Arial"/>
          <w:sz w:val="20"/>
          <w:szCs w:val="20"/>
        </w:rPr>
        <w:t xml:space="preserve"> in Table 1 below which clearly demonstrate the relative instability of SeO</w:t>
      </w:r>
      <w:r w:rsidR="00D8229F" w:rsidRPr="00D8229F">
        <w:rPr>
          <w:rFonts w:ascii="Arial" w:hAnsi="Arial" w:cs="Arial"/>
          <w:sz w:val="20"/>
          <w:szCs w:val="20"/>
          <w:vertAlign w:val="subscript"/>
        </w:rPr>
        <w:t>3</w:t>
      </w:r>
      <w:r w:rsidR="00D8229F">
        <w:rPr>
          <w:rFonts w:ascii="Arial" w:hAnsi="Arial" w:cs="Arial"/>
          <w:sz w:val="20"/>
          <w:szCs w:val="20"/>
        </w:rPr>
        <w:t xml:space="preserve"> compared with </w:t>
      </w:r>
      <w:r w:rsidR="00DE4784">
        <w:rPr>
          <w:rFonts w:ascii="Arial" w:hAnsi="Arial" w:cs="Arial"/>
          <w:sz w:val="20"/>
          <w:szCs w:val="20"/>
        </w:rPr>
        <w:t xml:space="preserve">either </w:t>
      </w:r>
      <w:r w:rsidR="00D8229F">
        <w:rPr>
          <w:rFonts w:ascii="Arial" w:hAnsi="Arial" w:cs="Arial"/>
          <w:sz w:val="20"/>
          <w:szCs w:val="20"/>
        </w:rPr>
        <w:t>SO</w:t>
      </w:r>
      <w:r w:rsidR="00D8229F" w:rsidRPr="00D8229F">
        <w:rPr>
          <w:rFonts w:ascii="Arial" w:hAnsi="Arial" w:cs="Arial"/>
          <w:sz w:val="20"/>
          <w:szCs w:val="20"/>
          <w:vertAlign w:val="subscript"/>
        </w:rPr>
        <w:t>3</w:t>
      </w:r>
      <w:r w:rsidR="00D8229F">
        <w:rPr>
          <w:rFonts w:ascii="Arial" w:hAnsi="Arial" w:cs="Arial"/>
          <w:sz w:val="20"/>
          <w:szCs w:val="20"/>
        </w:rPr>
        <w:t xml:space="preserve"> </w:t>
      </w:r>
      <w:r w:rsidR="00DE4784">
        <w:rPr>
          <w:rFonts w:ascii="Arial" w:hAnsi="Arial" w:cs="Arial"/>
          <w:sz w:val="20"/>
          <w:szCs w:val="20"/>
        </w:rPr>
        <w:t>or</w:t>
      </w:r>
      <w:r w:rsidR="00D8229F">
        <w:rPr>
          <w:rFonts w:ascii="Arial" w:hAnsi="Arial" w:cs="Arial"/>
          <w:sz w:val="20"/>
          <w:szCs w:val="20"/>
        </w:rPr>
        <w:t xml:space="preserve"> TeO</w:t>
      </w:r>
      <w:r w:rsidR="00D8229F" w:rsidRPr="00D8229F">
        <w:rPr>
          <w:rFonts w:ascii="Arial" w:hAnsi="Arial" w:cs="Arial"/>
          <w:sz w:val="20"/>
          <w:szCs w:val="20"/>
          <w:vertAlign w:val="subscript"/>
        </w:rPr>
        <w:t>3</w:t>
      </w:r>
      <w:r w:rsidR="00367F5B">
        <w:rPr>
          <w:rFonts w:ascii="Arial" w:hAnsi="Arial" w:cs="Arial"/>
          <w:sz w:val="20"/>
          <w:szCs w:val="20"/>
        </w:rPr>
        <w:t xml:space="preserve"> which </w:t>
      </w:r>
      <w:r w:rsidR="00D8229F">
        <w:rPr>
          <w:rFonts w:ascii="Arial" w:hAnsi="Arial" w:cs="Arial"/>
          <w:sz w:val="20"/>
          <w:szCs w:val="20"/>
        </w:rPr>
        <w:t xml:space="preserve">is also </w:t>
      </w:r>
      <w:r w:rsidR="00DE4784">
        <w:rPr>
          <w:rFonts w:ascii="Arial" w:hAnsi="Arial" w:cs="Arial"/>
          <w:sz w:val="20"/>
          <w:szCs w:val="20"/>
        </w:rPr>
        <w:t>evident</w:t>
      </w:r>
      <w:r w:rsidR="00D8229F">
        <w:rPr>
          <w:rFonts w:ascii="Arial" w:hAnsi="Arial" w:cs="Arial"/>
          <w:sz w:val="20"/>
          <w:szCs w:val="20"/>
        </w:rPr>
        <w:t xml:space="preserve"> from the exothermic nature of the reaction shown in Eqn. (3)</w:t>
      </w:r>
      <w:r w:rsidR="00367F5B">
        <w:rPr>
          <w:rFonts w:ascii="Arial" w:hAnsi="Arial" w:cs="Arial"/>
          <w:sz w:val="20"/>
          <w:szCs w:val="20"/>
        </w:rPr>
        <w:t xml:space="preserve"> using the values for selenium derived from Table 1</w:t>
      </w:r>
      <w:r w:rsidR="00D8229F">
        <w:rPr>
          <w:rFonts w:ascii="Arial" w:hAnsi="Arial" w:cs="Arial"/>
          <w:sz w:val="20"/>
          <w:szCs w:val="20"/>
        </w:rPr>
        <w:t>.</w:t>
      </w:r>
      <w:r>
        <w:rPr>
          <w:rFonts w:ascii="Arial" w:hAnsi="Arial" w:cs="Arial"/>
          <w:sz w:val="20"/>
          <w:szCs w:val="20"/>
        </w:rPr>
        <w:t xml:space="preserve"> Furthermore, the selenate anion, [SeO</w:t>
      </w:r>
      <w:r w:rsidRPr="00665877">
        <w:rPr>
          <w:rFonts w:ascii="Arial" w:hAnsi="Arial" w:cs="Arial"/>
          <w:sz w:val="20"/>
          <w:szCs w:val="20"/>
          <w:vertAlign w:val="subscript"/>
        </w:rPr>
        <w:t>4</w:t>
      </w:r>
      <w:r>
        <w:rPr>
          <w:rFonts w:ascii="Arial" w:hAnsi="Arial" w:cs="Arial"/>
          <w:sz w:val="20"/>
          <w:szCs w:val="20"/>
        </w:rPr>
        <w:t>]</w:t>
      </w:r>
      <w:r w:rsidRPr="00665877">
        <w:rPr>
          <w:rFonts w:ascii="Arial" w:hAnsi="Arial" w:cs="Arial"/>
          <w:sz w:val="20"/>
          <w:szCs w:val="20"/>
          <w:vertAlign w:val="superscript"/>
        </w:rPr>
        <w:t>2–</w:t>
      </w:r>
      <w:r>
        <w:rPr>
          <w:rFonts w:ascii="Arial" w:hAnsi="Arial" w:cs="Arial"/>
          <w:sz w:val="20"/>
          <w:szCs w:val="20"/>
        </w:rPr>
        <w:t xml:space="preserve">, is more strongly oxidising than </w:t>
      </w:r>
      <w:proofErr w:type="spellStart"/>
      <w:r>
        <w:rPr>
          <w:rFonts w:ascii="Arial" w:hAnsi="Arial" w:cs="Arial"/>
          <w:sz w:val="20"/>
          <w:szCs w:val="20"/>
        </w:rPr>
        <w:t>sulfate</w:t>
      </w:r>
      <w:proofErr w:type="spellEnd"/>
      <w:r>
        <w:rPr>
          <w:rFonts w:ascii="Arial" w:hAnsi="Arial" w:cs="Arial"/>
          <w:sz w:val="20"/>
          <w:szCs w:val="20"/>
        </w:rPr>
        <w:t>, [SO</w:t>
      </w:r>
      <w:r w:rsidRPr="00665877">
        <w:rPr>
          <w:rFonts w:ascii="Arial" w:hAnsi="Arial" w:cs="Arial"/>
          <w:sz w:val="20"/>
          <w:szCs w:val="20"/>
          <w:vertAlign w:val="subscript"/>
        </w:rPr>
        <w:t>4</w:t>
      </w:r>
      <w:r>
        <w:rPr>
          <w:rFonts w:ascii="Arial" w:hAnsi="Arial" w:cs="Arial"/>
          <w:sz w:val="20"/>
          <w:szCs w:val="20"/>
        </w:rPr>
        <w:t>]</w:t>
      </w:r>
      <w:r w:rsidRPr="00665877">
        <w:rPr>
          <w:rFonts w:ascii="Arial" w:hAnsi="Arial" w:cs="Arial"/>
          <w:sz w:val="20"/>
          <w:szCs w:val="20"/>
          <w:vertAlign w:val="superscript"/>
        </w:rPr>
        <w:t>2–</w:t>
      </w:r>
      <w:r>
        <w:rPr>
          <w:rFonts w:ascii="Arial" w:hAnsi="Arial" w:cs="Arial"/>
          <w:sz w:val="20"/>
          <w:szCs w:val="20"/>
        </w:rPr>
        <w:t>, and is also thermally less stable and evolves oxygen when heated above about 200˚C.</w:t>
      </w:r>
    </w:p>
    <w:p w14:paraId="7726096C" w14:textId="1C207E34" w:rsidR="00D8229F" w:rsidRDefault="00D8229F" w:rsidP="009234E8">
      <w:pPr>
        <w:autoSpaceDE w:val="0"/>
        <w:autoSpaceDN w:val="0"/>
        <w:adjustRightInd w:val="0"/>
        <w:spacing w:after="120"/>
        <w:jc w:val="both"/>
        <w:rPr>
          <w:rFonts w:ascii="Arial" w:hAnsi="Arial" w:cs="Arial"/>
          <w:sz w:val="20"/>
          <w:szCs w:val="20"/>
        </w:rPr>
      </w:pPr>
      <w:r w:rsidRPr="00D8229F">
        <w:rPr>
          <w:rFonts w:ascii="Arial" w:hAnsi="Arial" w:cs="Arial"/>
          <w:b/>
          <w:bCs/>
          <w:sz w:val="20"/>
          <w:szCs w:val="20"/>
        </w:rPr>
        <w:t>Table 1</w:t>
      </w:r>
      <w:r>
        <w:rPr>
          <w:rFonts w:ascii="Arial" w:hAnsi="Arial" w:cs="Arial"/>
          <w:sz w:val="20"/>
          <w:szCs w:val="20"/>
        </w:rPr>
        <w:t>. The standard enthalpies of formation (</w:t>
      </w:r>
      <w:proofErr w:type="spellStart"/>
      <w:r w:rsidRPr="00894E3D">
        <w:rPr>
          <w:rFonts w:ascii="Symbol" w:hAnsi="Symbol" w:cs="Arial"/>
          <w:sz w:val="20"/>
          <w:szCs w:val="20"/>
        </w:rPr>
        <w:t>D</w:t>
      </w:r>
      <w:r w:rsidRPr="00894E3D">
        <w:rPr>
          <w:rFonts w:ascii="Arial" w:hAnsi="Arial" w:cs="Arial"/>
          <w:i/>
          <w:iCs/>
          <w:sz w:val="20"/>
          <w:szCs w:val="20"/>
        </w:rPr>
        <w:t>H</w:t>
      </w:r>
      <w:r>
        <w:rPr>
          <w:rFonts w:ascii="Arial" w:hAnsi="Arial" w:cs="Arial"/>
          <w:sz w:val="20"/>
          <w:szCs w:val="20"/>
          <w:vertAlign w:val="subscript"/>
        </w:rPr>
        <w:t>f</w:t>
      </w:r>
      <w:r w:rsidRPr="00DA5597">
        <w:rPr>
          <w:rFonts w:ascii="Arial" w:hAnsi="Arial" w:cs="Arial"/>
          <w:sz w:val="20"/>
          <w:szCs w:val="20"/>
          <w:vertAlign w:val="superscript"/>
        </w:rPr>
        <w:t>o</w:t>
      </w:r>
      <w:proofErr w:type="spellEnd"/>
      <w:r>
        <w:rPr>
          <w:rFonts w:ascii="Arial" w:hAnsi="Arial" w:cs="Arial"/>
          <w:sz w:val="20"/>
          <w:szCs w:val="20"/>
        </w:rPr>
        <w:t>) in kJ mol</w:t>
      </w:r>
      <w:r w:rsidRPr="00A03D98">
        <w:rPr>
          <w:rFonts w:ascii="Arial" w:hAnsi="Arial" w:cs="Arial"/>
          <w:sz w:val="20"/>
          <w:szCs w:val="20"/>
          <w:vertAlign w:val="superscript"/>
        </w:rPr>
        <w:t>–1</w:t>
      </w:r>
      <w:r>
        <w:rPr>
          <w:rFonts w:ascii="Arial" w:hAnsi="Arial" w:cs="Arial"/>
          <w:sz w:val="20"/>
          <w:szCs w:val="20"/>
        </w:rPr>
        <w:t xml:space="preserve"> for the di- and trioxides of S, Se and </w:t>
      </w:r>
      <w:proofErr w:type="spellStart"/>
      <w:r>
        <w:rPr>
          <w:rFonts w:ascii="Arial" w:hAnsi="Arial" w:cs="Arial"/>
          <w:sz w:val="20"/>
          <w:szCs w:val="20"/>
        </w:rPr>
        <w:t>Te</w:t>
      </w:r>
      <w:proofErr w:type="spellEnd"/>
      <w:r>
        <w:rPr>
          <w:rFonts w:ascii="Arial" w:hAnsi="Arial" w:cs="Arial"/>
          <w:sz w:val="20"/>
          <w:szCs w:val="20"/>
        </w:rPr>
        <w:t>.</w:t>
      </w:r>
    </w:p>
    <w:tbl>
      <w:tblPr>
        <w:tblStyle w:val="TableGrid"/>
        <w:tblW w:w="0" w:type="auto"/>
        <w:jc w:val="center"/>
        <w:tblLook w:val="04A0" w:firstRow="1" w:lastRow="0" w:firstColumn="1" w:lastColumn="0" w:noHBand="0" w:noVBand="1"/>
      </w:tblPr>
      <w:tblGrid>
        <w:gridCol w:w="851"/>
        <w:gridCol w:w="851"/>
        <w:gridCol w:w="851"/>
        <w:gridCol w:w="851"/>
      </w:tblGrid>
      <w:tr w:rsidR="00D8229F" w14:paraId="5814B709" w14:textId="77777777" w:rsidTr="00D8229F">
        <w:trPr>
          <w:jc w:val="center"/>
        </w:trPr>
        <w:tc>
          <w:tcPr>
            <w:tcW w:w="851" w:type="dxa"/>
          </w:tcPr>
          <w:p w14:paraId="1CDC7FA7" w14:textId="5A8FE24E"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SO</w:t>
            </w:r>
            <w:r w:rsidRPr="00A03D98">
              <w:rPr>
                <w:rFonts w:ascii="Arial" w:hAnsi="Arial" w:cs="Arial"/>
                <w:sz w:val="20"/>
                <w:szCs w:val="20"/>
                <w:vertAlign w:val="subscript"/>
              </w:rPr>
              <w:t>2</w:t>
            </w:r>
          </w:p>
        </w:tc>
        <w:tc>
          <w:tcPr>
            <w:tcW w:w="851" w:type="dxa"/>
          </w:tcPr>
          <w:p w14:paraId="5219FB57" w14:textId="5D8344B3"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–297</w:t>
            </w:r>
          </w:p>
        </w:tc>
        <w:tc>
          <w:tcPr>
            <w:tcW w:w="851" w:type="dxa"/>
          </w:tcPr>
          <w:p w14:paraId="49CC11FF" w14:textId="6E3D8153"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SO</w:t>
            </w:r>
            <w:r w:rsidRPr="00A03D98">
              <w:rPr>
                <w:rFonts w:ascii="Arial" w:hAnsi="Arial" w:cs="Arial"/>
                <w:sz w:val="20"/>
                <w:szCs w:val="20"/>
                <w:vertAlign w:val="subscript"/>
              </w:rPr>
              <w:t>3</w:t>
            </w:r>
          </w:p>
        </w:tc>
        <w:tc>
          <w:tcPr>
            <w:tcW w:w="851" w:type="dxa"/>
          </w:tcPr>
          <w:p w14:paraId="34DB31DD" w14:textId="74145C7B"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–432</w:t>
            </w:r>
          </w:p>
        </w:tc>
      </w:tr>
      <w:tr w:rsidR="00D8229F" w14:paraId="1A00D139" w14:textId="77777777" w:rsidTr="00D8229F">
        <w:trPr>
          <w:jc w:val="center"/>
        </w:trPr>
        <w:tc>
          <w:tcPr>
            <w:tcW w:w="851" w:type="dxa"/>
          </w:tcPr>
          <w:p w14:paraId="2DBEC69D" w14:textId="0CE8F581"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SeO</w:t>
            </w:r>
            <w:r w:rsidRPr="00A03D98">
              <w:rPr>
                <w:rFonts w:ascii="Arial" w:hAnsi="Arial" w:cs="Arial"/>
                <w:sz w:val="20"/>
                <w:szCs w:val="20"/>
                <w:vertAlign w:val="subscript"/>
              </w:rPr>
              <w:t>2</w:t>
            </w:r>
          </w:p>
        </w:tc>
        <w:tc>
          <w:tcPr>
            <w:tcW w:w="851" w:type="dxa"/>
          </w:tcPr>
          <w:p w14:paraId="0AD62F8F" w14:textId="253FB6E5"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–230</w:t>
            </w:r>
          </w:p>
        </w:tc>
        <w:tc>
          <w:tcPr>
            <w:tcW w:w="851" w:type="dxa"/>
          </w:tcPr>
          <w:p w14:paraId="55EB2F1B" w14:textId="51644E90"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SeO</w:t>
            </w:r>
            <w:r w:rsidRPr="00A03D98">
              <w:rPr>
                <w:rFonts w:ascii="Arial" w:hAnsi="Arial" w:cs="Arial"/>
                <w:sz w:val="20"/>
                <w:szCs w:val="20"/>
                <w:vertAlign w:val="subscript"/>
              </w:rPr>
              <w:t>3</w:t>
            </w:r>
          </w:p>
        </w:tc>
        <w:tc>
          <w:tcPr>
            <w:tcW w:w="851" w:type="dxa"/>
          </w:tcPr>
          <w:p w14:paraId="3A7AF474" w14:textId="7973ECDB"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–184</w:t>
            </w:r>
          </w:p>
        </w:tc>
      </w:tr>
      <w:tr w:rsidR="00D8229F" w14:paraId="559027CE" w14:textId="77777777" w:rsidTr="00D8229F">
        <w:trPr>
          <w:jc w:val="center"/>
        </w:trPr>
        <w:tc>
          <w:tcPr>
            <w:tcW w:w="851" w:type="dxa"/>
          </w:tcPr>
          <w:p w14:paraId="2C672B56" w14:textId="125DDC77"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TeO</w:t>
            </w:r>
            <w:r w:rsidRPr="00A03D98">
              <w:rPr>
                <w:rFonts w:ascii="Arial" w:hAnsi="Arial" w:cs="Arial"/>
                <w:sz w:val="20"/>
                <w:szCs w:val="20"/>
                <w:vertAlign w:val="subscript"/>
              </w:rPr>
              <w:t>2</w:t>
            </w:r>
          </w:p>
        </w:tc>
        <w:tc>
          <w:tcPr>
            <w:tcW w:w="851" w:type="dxa"/>
          </w:tcPr>
          <w:p w14:paraId="0CF63B7E" w14:textId="1487BF02"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–325</w:t>
            </w:r>
          </w:p>
        </w:tc>
        <w:tc>
          <w:tcPr>
            <w:tcW w:w="851" w:type="dxa"/>
          </w:tcPr>
          <w:p w14:paraId="5D54FB8E" w14:textId="44CDA59E"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TeO</w:t>
            </w:r>
            <w:r w:rsidRPr="00A03D98">
              <w:rPr>
                <w:rFonts w:ascii="Arial" w:hAnsi="Arial" w:cs="Arial"/>
                <w:sz w:val="20"/>
                <w:szCs w:val="20"/>
                <w:vertAlign w:val="subscript"/>
              </w:rPr>
              <w:t>3</w:t>
            </w:r>
          </w:p>
        </w:tc>
        <w:tc>
          <w:tcPr>
            <w:tcW w:w="851" w:type="dxa"/>
          </w:tcPr>
          <w:p w14:paraId="20436BED" w14:textId="2B0D03FA" w:rsidR="00D8229F" w:rsidRDefault="00D8229F" w:rsidP="00D8229F">
            <w:pPr>
              <w:autoSpaceDE w:val="0"/>
              <w:autoSpaceDN w:val="0"/>
              <w:adjustRightInd w:val="0"/>
              <w:spacing w:after="60"/>
              <w:jc w:val="both"/>
              <w:rPr>
                <w:rFonts w:ascii="Arial" w:hAnsi="Arial" w:cs="Arial"/>
                <w:sz w:val="20"/>
                <w:szCs w:val="20"/>
              </w:rPr>
            </w:pPr>
            <w:r>
              <w:rPr>
                <w:rFonts w:ascii="Arial" w:hAnsi="Arial" w:cs="Arial"/>
                <w:sz w:val="20"/>
                <w:szCs w:val="20"/>
              </w:rPr>
              <w:t>–348</w:t>
            </w:r>
          </w:p>
        </w:tc>
      </w:tr>
    </w:tbl>
    <w:p w14:paraId="4FD7546E" w14:textId="77777777" w:rsidR="00D8229F" w:rsidRDefault="00D8229F" w:rsidP="00D8229F">
      <w:pPr>
        <w:autoSpaceDE w:val="0"/>
        <w:autoSpaceDN w:val="0"/>
        <w:adjustRightInd w:val="0"/>
        <w:spacing w:after="120"/>
        <w:jc w:val="both"/>
        <w:rPr>
          <w:rFonts w:ascii="Arial" w:hAnsi="Arial" w:cs="Arial"/>
          <w:sz w:val="20"/>
          <w:szCs w:val="20"/>
        </w:rPr>
      </w:pPr>
    </w:p>
    <w:p w14:paraId="0C31FFD4" w14:textId="274C1AE9" w:rsidR="00FF4B67" w:rsidRDefault="00894E3D" w:rsidP="00D8229F">
      <w:pPr>
        <w:autoSpaceDE w:val="0"/>
        <w:autoSpaceDN w:val="0"/>
        <w:adjustRightInd w:val="0"/>
        <w:spacing w:after="120"/>
        <w:jc w:val="right"/>
        <w:rPr>
          <w:rFonts w:ascii="Arial" w:hAnsi="Arial" w:cs="Arial"/>
          <w:sz w:val="20"/>
          <w:szCs w:val="20"/>
        </w:rPr>
      </w:pPr>
      <w:r>
        <w:rPr>
          <w:rFonts w:ascii="Arial" w:hAnsi="Arial" w:cs="Arial"/>
          <w:sz w:val="20"/>
          <w:szCs w:val="20"/>
        </w:rPr>
        <w:t>SeO</w:t>
      </w:r>
      <w:r w:rsidRPr="00894E3D">
        <w:rPr>
          <w:rFonts w:ascii="Arial" w:hAnsi="Arial" w:cs="Arial"/>
          <w:sz w:val="20"/>
          <w:szCs w:val="20"/>
          <w:vertAlign w:val="subscript"/>
        </w:rPr>
        <w:t>3</w:t>
      </w:r>
      <w:r>
        <w:rPr>
          <w:rFonts w:ascii="Arial" w:hAnsi="Arial" w:cs="Arial"/>
          <w:sz w:val="20"/>
          <w:szCs w:val="20"/>
        </w:rPr>
        <w:t xml:space="preserve"> </w:t>
      </w:r>
      <w:r w:rsidRPr="0029293E">
        <w:rPr>
          <w:rFonts w:ascii="Symbol" w:hAnsi="Symbol" w:cs="Arial"/>
          <w:sz w:val="20"/>
          <w:szCs w:val="20"/>
        </w:rPr>
        <w:t></w:t>
      </w:r>
      <w:r>
        <w:rPr>
          <w:rFonts w:ascii="Arial" w:hAnsi="Arial" w:cs="Arial"/>
          <w:sz w:val="20"/>
          <w:szCs w:val="20"/>
        </w:rPr>
        <w:t xml:space="preserve"> SeO</w:t>
      </w:r>
      <w:proofErr w:type="gramStart"/>
      <w:r w:rsidRPr="00894E3D">
        <w:rPr>
          <w:rFonts w:ascii="Arial" w:hAnsi="Arial" w:cs="Arial"/>
          <w:sz w:val="20"/>
          <w:szCs w:val="20"/>
          <w:vertAlign w:val="subscript"/>
        </w:rPr>
        <w:t>2</w:t>
      </w:r>
      <w:r>
        <w:rPr>
          <w:rFonts w:ascii="Arial" w:hAnsi="Arial" w:cs="Arial"/>
          <w:sz w:val="20"/>
          <w:szCs w:val="20"/>
        </w:rPr>
        <w:t xml:space="preserve">  +</w:t>
      </w:r>
      <w:proofErr w:type="gramEnd"/>
      <w:r>
        <w:rPr>
          <w:rFonts w:ascii="Arial" w:hAnsi="Arial" w:cs="Arial"/>
          <w:sz w:val="20"/>
          <w:szCs w:val="20"/>
        </w:rPr>
        <w:t xml:space="preserve">  ½ O</w:t>
      </w:r>
      <w:r w:rsidRPr="00894E3D">
        <w:rPr>
          <w:rFonts w:ascii="Arial" w:hAnsi="Arial" w:cs="Arial"/>
          <w:sz w:val="20"/>
          <w:szCs w:val="20"/>
          <w:vertAlign w:val="subscript"/>
        </w:rPr>
        <w:t>2</w:t>
      </w:r>
      <w:r>
        <w:rPr>
          <w:rFonts w:ascii="Arial" w:hAnsi="Arial" w:cs="Arial"/>
          <w:sz w:val="20"/>
          <w:szCs w:val="20"/>
        </w:rPr>
        <w:tab/>
      </w:r>
      <w:r>
        <w:rPr>
          <w:rFonts w:ascii="Arial" w:hAnsi="Arial" w:cs="Arial"/>
          <w:sz w:val="20"/>
          <w:szCs w:val="20"/>
        </w:rPr>
        <w:tab/>
      </w:r>
      <w:proofErr w:type="spellStart"/>
      <w:r w:rsidRPr="00894E3D">
        <w:rPr>
          <w:rFonts w:ascii="Symbol" w:hAnsi="Symbol" w:cs="Arial"/>
          <w:sz w:val="20"/>
          <w:szCs w:val="20"/>
        </w:rPr>
        <w:t>D</w:t>
      </w:r>
      <w:r w:rsidRPr="00894E3D">
        <w:rPr>
          <w:rFonts w:ascii="Arial" w:hAnsi="Arial" w:cs="Arial"/>
          <w:i/>
          <w:iCs/>
          <w:sz w:val="20"/>
          <w:szCs w:val="20"/>
        </w:rPr>
        <w:t>H</w:t>
      </w:r>
      <w:r w:rsidR="00A03D98">
        <w:rPr>
          <w:rFonts w:ascii="Arial" w:hAnsi="Arial" w:cs="Arial"/>
          <w:sz w:val="20"/>
          <w:szCs w:val="20"/>
          <w:vertAlign w:val="subscript"/>
        </w:rPr>
        <w:t>r</w:t>
      </w:r>
      <w:r w:rsidRPr="00DA5597">
        <w:rPr>
          <w:rFonts w:ascii="Arial" w:hAnsi="Arial" w:cs="Arial"/>
          <w:sz w:val="20"/>
          <w:szCs w:val="20"/>
          <w:vertAlign w:val="superscript"/>
        </w:rPr>
        <w:t>o</w:t>
      </w:r>
      <w:proofErr w:type="spellEnd"/>
      <w:r>
        <w:rPr>
          <w:rFonts w:ascii="Arial" w:hAnsi="Arial" w:cs="Arial"/>
          <w:sz w:val="20"/>
          <w:szCs w:val="20"/>
        </w:rPr>
        <w:t xml:space="preserve"> = –4</w:t>
      </w:r>
      <w:r w:rsidR="00367F5B">
        <w:rPr>
          <w:rFonts w:ascii="Arial" w:hAnsi="Arial" w:cs="Arial"/>
          <w:sz w:val="20"/>
          <w:szCs w:val="20"/>
        </w:rPr>
        <w:t>6</w:t>
      </w:r>
      <w:r>
        <w:rPr>
          <w:rFonts w:ascii="Arial" w:hAnsi="Arial" w:cs="Arial"/>
          <w:sz w:val="20"/>
          <w:szCs w:val="20"/>
        </w:rPr>
        <w:t xml:space="preserve"> kJ mol</w:t>
      </w:r>
      <w:r w:rsidRPr="00894E3D">
        <w:rPr>
          <w:rFonts w:ascii="Arial" w:hAnsi="Arial" w:cs="Arial"/>
          <w:sz w:val="20"/>
          <w:szCs w:val="20"/>
          <w:vertAlign w:val="superscript"/>
        </w:rPr>
        <w:t>–1</w:t>
      </w:r>
      <w:r>
        <w:rPr>
          <w:rFonts w:ascii="Arial" w:hAnsi="Arial" w:cs="Arial"/>
          <w:sz w:val="20"/>
          <w:szCs w:val="20"/>
        </w:rPr>
        <w:t xml:space="preserve"> </w:t>
      </w:r>
      <w:r w:rsidR="00D8229F">
        <w:rPr>
          <w:rFonts w:ascii="Arial" w:hAnsi="Arial" w:cs="Arial"/>
          <w:sz w:val="20"/>
          <w:szCs w:val="20"/>
        </w:rPr>
        <w:tab/>
      </w:r>
      <w:r w:rsidR="00D8229F">
        <w:rPr>
          <w:rFonts w:ascii="Arial" w:hAnsi="Arial" w:cs="Arial"/>
          <w:sz w:val="20"/>
          <w:szCs w:val="20"/>
        </w:rPr>
        <w:tab/>
      </w:r>
      <w:r w:rsidR="00D8229F">
        <w:rPr>
          <w:rFonts w:ascii="Arial" w:hAnsi="Arial" w:cs="Arial"/>
          <w:sz w:val="20"/>
          <w:szCs w:val="20"/>
        </w:rPr>
        <w:tab/>
        <w:t>(3)</w:t>
      </w:r>
    </w:p>
    <w:p w14:paraId="5A445317" w14:textId="7390F28D" w:rsidR="005A7DB4" w:rsidRPr="005A7DB4" w:rsidRDefault="005A7DB4" w:rsidP="005A7DB4">
      <w:pPr>
        <w:autoSpaceDE w:val="0"/>
        <w:autoSpaceDN w:val="0"/>
        <w:adjustRightInd w:val="0"/>
        <w:spacing w:after="120"/>
        <w:jc w:val="both"/>
        <w:rPr>
          <w:rFonts w:ascii="Arial" w:hAnsi="Arial" w:cs="Arial"/>
          <w:sz w:val="20"/>
          <w:szCs w:val="20"/>
        </w:rPr>
      </w:pPr>
      <w:r>
        <w:rPr>
          <w:rFonts w:ascii="Arial" w:hAnsi="Arial" w:cs="Arial"/>
          <w:sz w:val="20"/>
          <w:szCs w:val="20"/>
        </w:rPr>
        <w:t>Similarly, with the hexafl</w:t>
      </w:r>
      <w:r w:rsidR="00665877">
        <w:rPr>
          <w:rFonts w:ascii="Arial" w:hAnsi="Arial" w:cs="Arial"/>
          <w:sz w:val="20"/>
          <w:szCs w:val="20"/>
        </w:rPr>
        <w:t>u</w:t>
      </w:r>
      <w:r>
        <w:rPr>
          <w:rFonts w:ascii="Arial" w:hAnsi="Arial" w:cs="Arial"/>
          <w:sz w:val="20"/>
          <w:szCs w:val="20"/>
        </w:rPr>
        <w:t>orides. SF</w:t>
      </w:r>
      <w:r w:rsidRPr="005A7DB4">
        <w:rPr>
          <w:rFonts w:ascii="Arial" w:hAnsi="Arial" w:cs="Arial"/>
          <w:sz w:val="20"/>
          <w:szCs w:val="20"/>
          <w:vertAlign w:val="subscript"/>
        </w:rPr>
        <w:t>6</w:t>
      </w:r>
      <w:r>
        <w:rPr>
          <w:rFonts w:ascii="Arial" w:hAnsi="Arial" w:cs="Arial"/>
          <w:sz w:val="20"/>
          <w:szCs w:val="20"/>
        </w:rPr>
        <w:t>, SeF</w:t>
      </w:r>
      <w:r w:rsidRPr="005A7DB4">
        <w:rPr>
          <w:rFonts w:ascii="Arial" w:hAnsi="Arial" w:cs="Arial"/>
          <w:sz w:val="20"/>
          <w:szCs w:val="20"/>
          <w:vertAlign w:val="subscript"/>
        </w:rPr>
        <w:t>6</w:t>
      </w:r>
      <w:r>
        <w:rPr>
          <w:rFonts w:ascii="Arial" w:hAnsi="Arial" w:cs="Arial"/>
          <w:sz w:val="20"/>
          <w:szCs w:val="20"/>
        </w:rPr>
        <w:t xml:space="preserve"> and TeF</w:t>
      </w:r>
      <w:r w:rsidRPr="005A7DB4">
        <w:rPr>
          <w:rFonts w:ascii="Arial" w:hAnsi="Arial" w:cs="Arial"/>
          <w:sz w:val="20"/>
          <w:szCs w:val="20"/>
          <w:vertAlign w:val="subscript"/>
        </w:rPr>
        <w:t>6</w:t>
      </w:r>
      <w:r>
        <w:rPr>
          <w:rFonts w:ascii="Arial" w:hAnsi="Arial" w:cs="Arial"/>
          <w:sz w:val="20"/>
          <w:szCs w:val="20"/>
        </w:rPr>
        <w:t xml:space="preserve"> are all know</w:t>
      </w:r>
      <w:r w:rsidR="00AB4457">
        <w:rPr>
          <w:rFonts w:ascii="Arial" w:hAnsi="Arial" w:cs="Arial"/>
          <w:sz w:val="20"/>
          <w:szCs w:val="20"/>
        </w:rPr>
        <w:t>n</w:t>
      </w:r>
      <w:r>
        <w:rPr>
          <w:rFonts w:ascii="Arial" w:hAnsi="Arial" w:cs="Arial"/>
          <w:sz w:val="20"/>
          <w:szCs w:val="20"/>
        </w:rPr>
        <w:t xml:space="preserve"> compounds but the standard enthalpies of formation (</w:t>
      </w:r>
      <w:proofErr w:type="spellStart"/>
      <w:r w:rsidRPr="00894E3D">
        <w:rPr>
          <w:rFonts w:ascii="Symbol" w:hAnsi="Symbol" w:cs="Arial"/>
          <w:sz w:val="20"/>
          <w:szCs w:val="20"/>
        </w:rPr>
        <w:t>D</w:t>
      </w:r>
      <w:r w:rsidRPr="00894E3D">
        <w:rPr>
          <w:rFonts w:ascii="Arial" w:hAnsi="Arial" w:cs="Arial"/>
          <w:i/>
          <w:iCs/>
          <w:sz w:val="20"/>
          <w:szCs w:val="20"/>
        </w:rPr>
        <w:t>H</w:t>
      </w:r>
      <w:r>
        <w:rPr>
          <w:rFonts w:ascii="Arial" w:hAnsi="Arial" w:cs="Arial"/>
          <w:sz w:val="20"/>
          <w:szCs w:val="20"/>
          <w:vertAlign w:val="subscript"/>
        </w:rPr>
        <w:t>f</w:t>
      </w:r>
      <w:r w:rsidRPr="00DA5597">
        <w:rPr>
          <w:rFonts w:ascii="Arial" w:hAnsi="Arial" w:cs="Arial"/>
          <w:sz w:val="20"/>
          <w:szCs w:val="20"/>
          <w:vertAlign w:val="superscript"/>
        </w:rPr>
        <w:t>o</w:t>
      </w:r>
      <w:proofErr w:type="spellEnd"/>
      <w:r>
        <w:rPr>
          <w:rFonts w:ascii="Arial" w:hAnsi="Arial" w:cs="Arial"/>
          <w:sz w:val="20"/>
          <w:szCs w:val="20"/>
        </w:rPr>
        <w:t>) in kJ mol</w:t>
      </w:r>
      <w:r w:rsidRPr="00A03D98">
        <w:rPr>
          <w:rFonts w:ascii="Arial" w:hAnsi="Arial" w:cs="Arial"/>
          <w:sz w:val="20"/>
          <w:szCs w:val="20"/>
          <w:vertAlign w:val="superscript"/>
        </w:rPr>
        <w:t>–1</w:t>
      </w:r>
      <w:r>
        <w:rPr>
          <w:rFonts w:ascii="Arial" w:hAnsi="Arial" w:cs="Arial"/>
          <w:sz w:val="20"/>
          <w:szCs w:val="20"/>
        </w:rPr>
        <w:t xml:space="preserve"> for each are –1210, –1117 and –1320, the lowest value being for selenium.</w:t>
      </w:r>
    </w:p>
    <w:p w14:paraId="170A32CC" w14:textId="6B9EE93F" w:rsidR="00A067FC" w:rsidRDefault="00A067FC" w:rsidP="00A067FC">
      <w:pPr>
        <w:autoSpaceDE w:val="0"/>
        <w:autoSpaceDN w:val="0"/>
        <w:adjustRightInd w:val="0"/>
        <w:spacing w:after="120"/>
        <w:jc w:val="both"/>
        <w:rPr>
          <w:rFonts w:ascii="Arial" w:hAnsi="Arial" w:cs="Arial"/>
          <w:b/>
          <w:bCs/>
          <w:i/>
          <w:iCs/>
          <w:sz w:val="20"/>
          <w:szCs w:val="20"/>
        </w:rPr>
      </w:pPr>
      <w:proofErr w:type="gramStart"/>
      <w:r>
        <w:rPr>
          <w:rFonts w:ascii="Arial" w:hAnsi="Arial" w:cs="Arial"/>
          <w:b/>
          <w:bCs/>
          <w:i/>
          <w:iCs/>
          <w:sz w:val="20"/>
          <w:szCs w:val="20"/>
        </w:rPr>
        <w:lastRenderedPageBreak/>
        <w:t>Bromine</w:t>
      </w:r>
      <w:r w:rsidRPr="00A46EDE">
        <w:rPr>
          <w:rFonts w:ascii="Arial" w:hAnsi="Arial" w:cs="Arial"/>
          <w:b/>
          <w:bCs/>
          <w:i/>
          <w:iCs/>
          <w:sz w:val="20"/>
          <w:szCs w:val="20"/>
        </w:rPr>
        <w:t>(</w:t>
      </w:r>
      <w:proofErr w:type="gramEnd"/>
      <w:r w:rsidRPr="00A46EDE">
        <w:rPr>
          <w:rFonts w:ascii="Arial" w:hAnsi="Arial" w:cs="Arial"/>
          <w:b/>
          <w:bCs/>
          <w:i/>
          <w:iCs/>
          <w:sz w:val="20"/>
          <w:szCs w:val="20"/>
        </w:rPr>
        <w:t>V</w:t>
      </w:r>
      <w:r>
        <w:rPr>
          <w:rFonts w:ascii="Arial" w:hAnsi="Arial" w:cs="Arial"/>
          <w:b/>
          <w:bCs/>
          <w:i/>
          <w:iCs/>
          <w:sz w:val="20"/>
          <w:szCs w:val="20"/>
        </w:rPr>
        <w:t>II</w:t>
      </w:r>
      <w:r w:rsidRPr="00A46EDE">
        <w:rPr>
          <w:rFonts w:ascii="Arial" w:hAnsi="Arial" w:cs="Arial"/>
          <w:b/>
          <w:bCs/>
          <w:i/>
          <w:iCs/>
          <w:sz w:val="20"/>
          <w:szCs w:val="20"/>
        </w:rPr>
        <w:t xml:space="preserve">) or </w:t>
      </w:r>
      <w:r>
        <w:rPr>
          <w:rFonts w:ascii="Arial" w:hAnsi="Arial" w:cs="Arial"/>
          <w:b/>
          <w:bCs/>
          <w:i/>
          <w:iCs/>
          <w:sz w:val="20"/>
          <w:szCs w:val="20"/>
        </w:rPr>
        <w:t>hept</w:t>
      </w:r>
      <w:r w:rsidRPr="00A46EDE">
        <w:rPr>
          <w:rFonts w:ascii="Arial" w:hAnsi="Arial" w:cs="Arial"/>
          <w:b/>
          <w:bCs/>
          <w:i/>
          <w:iCs/>
          <w:sz w:val="20"/>
          <w:szCs w:val="20"/>
        </w:rPr>
        <w:t xml:space="preserve">avalent </w:t>
      </w:r>
      <w:r>
        <w:rPr>
          <w:rFonts w:ascii="Arial" w:hAnsi="Arial" w:cs="Arial"/>
          <w:b/>
          <w:bCs/>
          <w:i/>
          <w:iCs/>
          <w:sz w:val="20"/>
          <w:szCs w:val="20"/>
        </w:rPr>
        <w:t>bromine</w:t>
      </w:r>
    </w:p>
    <w:p w14:paraId="3C357A81" w14:textId="35C6289C" w:rsidR="004729C9" w:rsidRDefault="00D8229F" w:rsidP="009234E8">
      <w:pPr>
        <w:autoSpaceDE w:val="0"/>
        <w:autoSpaceDN w:val="0"/>
        <w:adjustRightInd w:val="0"/>
        <w:spacing w:after="120"/>
        <w:jc w:val="both"/>
        <w:rPr>
          <w:rFonts w:ascii="Arial" w:hAnsi="Arial" w:cs="Arial"/>
          <w:sz w:val="20"/>
          <w:szCs w:val="20"/>
        </w:rPr>
      </w:pPr>
      <w:r>
        <w:rPr>
          <w:rFonts w:ascii="Arial" w:hAnsi="Arial" w:cs="Arial"/>
          <w:sz w:val="20"/>
          <w:szCs w:val="20"/>
        </w:rPr>
        <w:t>Besides the [BrF</w:t>
      </w:r>
      <w:proofErr w:type="gramStart"/>
      <w:r w:rsidRPr="00D8229F">
        <w:rPr>
          <w:rFonts w:ascii="Arial" w:hAnsi="Arial" w:cs="Arial"/>
          <w:sz w:val="20"/>
          <w:szCs w:val="20"/>
          <w:vertAlign w:val="subscript"/>
        </w:rPr>
        <w:t>6</w:t>
      </w:r>
      <w:r>
        <w:rPr>
          <w:rFonts w:ascii="Arial" w:hAnsi="Arial" w:cs="Arial"/>
          <w:sz w:val="20"/>
          <w:szCs w:val="20"/>
        </w:rPr>
        <w:t>]</w:t>
      </w:r>
      <w:r w:rsidRPr="00D8229F">
        <w:rPr>
          <w:rFonts w:ascii="Arial" w:hAnsi="Arial" w:cs="Arial"/>
          <w:sz w:val="20"/>
          <w:szCs w:val="20"/>
          <w:vertAlign w:val="superscript"/>
        </w:rPr>
        <w:t>+</w:t>
      </w:r>
      <w:proofErr w:type="gramEnd"/>
      <w:r>
        <w:rPr>
          <w:rFonts w:ascii="Arial" w:hAnsi="Arial" w:cs="Arial"/>
          <w:sz w:val="20"/>
          <w:szCs w:val="20"/>
        </w:rPr>
        <w:t xml:space="preserve"> cation, the only examples of Br(VII) compounds are the </w:t>
      </w:r>
      <w:proofErr w:type="spellStart"/>
      <w:r>
        <w:rPr>
          <w:rFonts w:ascii="Arial" w:hAnsi="Arial" w:cs="Arial"/>
          <w:sz w:val="20"/>
          <w:szCs w:val="20"/>
        </w:rPr>
        <w:t>perbromate</w:t>
      </w:r>
      <w:proofErr w:type="spellEnd"/>
      <w:r>
        <w:rPr>
          <w:rFonts w:ascii="Arial" w:hAnsi="Arial" w:cs="Arial"/>
          <w:sz w:val="20"/>
          <w:szCs w:val="20"/>
        </w:rPr>
        <w:t xml:space="preserve"> ion </w:t>
      </w:r>
      <w:r w:rsidR="00B558F8">
        <w:rPr>
          <w:rFonts w:ascii="Arial" w:hAnsi="Arial" w:cs="Arial"/>
          <w:sz w:val="20"/>
          <w:szCs w:val="20"/>
        </w:rPr>
        <w:t>[BrO</w:t>
      </w:r>
      <w:r w:rsidR="00B558F8" w:rsidRPr="00DA5597">
        <w:rPr>
          <w:rFonts w:ascii="Arial" w:hAnsi="Arial" w:cs="Arial"/>
          <w:sz w:val="20"/>
          <w:szCs w:val="20"/>
          <w:vertAlign w:val="subscript"/>
        </w:rPr>
        <w:t>4</w:t>
      </w:r>
      <w:r w:rsidR="00B558F8">
        <w:rPr>
          <w:rFonts w:ascii="Arial" w:hAnsi="Arial" w:cs="Arial"/>
          <w:sz w:val="20"/>
          <w:szCs w:val="20"/>
        </w:rPr>
        <w:t>]</w:t>
      </w:r>
      <w:r w:rsidR="00B558F8" w:rsidRPr="00DA5597">
        <w:rPr>
          <w:rFonts w:ascii="Arial" w:hAnsi="Arial" w:cs="Arial"/>
          <w:sz w:val="20"/>
          <w:szCs w:val="20"/>
          <w:vertAlign w:val="superscript"/>
        </w:rPr>
        <w:t>–</w:t>
      </w:r>
      <w:r w:rsidR="00B558F8">
        <w:rPr>
          <w:rFonts w:ascii="Arial" w:hAnsi="Arial" w:cs="Arial"/>
          <w:sz w:val="20"/>
          <w:szCs w:val="20"/>
        </w:rPr>
        <w:t xml:space="preserve"> and </w:t>
      </w:r>
      <w:r>
        <w:rPr>
          <w:rFonts w:ascii="Arial" w:hAnsi="Arial" w:cs="Arial"/>
          <w:sz w:val="20"/>
          <w:szCs w:val="20"/>
        </w:rPr>
        <w:t xml:space="preserve">the protonated derivative, </w:t>
      </w:r>
      <w:proofErr w:type="spellStart"/>
      <w:r>
        <w:rPr>
          <w:rFonts w:ascii="Arial" w:hAnsi="Arial" w:cs="Arial"/>
          <w:sz w:val="20"/>
          <w:szCs w:val="20"/>
        </w:rPr>
        <w:t>perbromic</w:t>
      </w:r>
      <w:proofErr w:type="spellEnd"/>
      <w:r>
        <w:rPr>
          <w:rFonts w:ascii="Arial" w:hAnsi="Arial" w:cs="Arial"/>
          <w:sz w:val="20"/>
          <w:szCs w:val="20"/>
        </w:rPr>
        <w:t xml:space="preserve"> acid, </w:t>
      </w:r>
      <w:r w:rsidR="00B558F8">
        <w:rPr>
          <w:rFonts w:ascii="Arial" w:hAnsi="Arial" w:cs="Arial"/>
          <w:sz w:val="20"/>
          <w:szCs w:val="20"/>
        </w:rPr>
        <w:t>HBrO</w:t>
      </w:r>
      <w:r w:rsidR="00B558F8" w:rsidRPr="00B558F8">
        <w:rPr>
          <w:rFonts w:ascii="Arial" w:hAnsi="Arial" w:cs="Arial"/>
          <w:sz w:val="20"/>
          <w:szCs w:val="20"/>
          <w:vertAlign w:val="subscript"/>
        </w:rPr>
        <w:t>4</w:t>
      </w:r>
      <w:r>
        <w:rPr>
          <w:rFonts w:ascii="Arial" w:hAnsi="Arial" w:cs="Arial"/>
          <w:sz w:val="20"/>
          <w:szCs w:val="20"/>
        </w:rPr>
        <w:t xml:space="preserve">. </w:t>
      </w:r>
      <w:r w:rsidR="004729C9">
        <w:rPr>
          <w:rFonts w:ascii="Arial" w:hAnsi="Arial" w:cs="Arial"/>
          <w:sz w:val="20"/>
          <w:szCs w:val="20"/>
        </w:rPr>
        <w:t xml:space="preserve">In fact, the </w:t>
      </w:r>
      <w:proofErr w:type="spellStart"/>
      <w:r w:rsidR="004729C9">
        <w:rPr>
          <w:rFonts w:ascii="Arial" w:hAnsi="Arial" w:cs="Arial"/>
          <w:sz w:val="20"/>
          <w:szCs w:val="20"/>
        </w:rPr>
        <w:t>perbromate</w:t>
      </w:r>
      <w:proofErr w:type="spellEnd"/>
      <w:r w:rsidR="004729C9">
        <w:rPr>
          <w:rFonts w:ascii="Arial" w:hAnsi="Arial" w:cs="Arial"/>
          <w:sz w:val="20"/>
          <w:szCs w:val="20"/>
        </w:rPr>
        <w:t xml:space="preserve"> ion was not synthesised until 19</w:t>
      </w:r>
      <w:r w:rsidR="00991BD0">
        <w:rPr>
          <w:rFonts w:ascii="Arial" w:hAnsi="Arial" w:cs="Arial"/>
          <w:sz w:val="20"/>
          <w:szCs w:val="20"/>
        </w:rPr>
        <w:t>68</w:t>
      </w:r>
      <w:r w:rsidR="004729C9">
        <w:rPr>
          <w:rFonts w:ascii="Arial" w:hAnsi="Arial" w:cs="Arial"/>
          <w:sz w:val="20"/>
          <w:szCs w:val="20"/>
        </w:rPr>
        <w:t xml:space="preserve"> and its synthesis requires the use of very strong oxidising agents such as F</w:t>
      </w:r>
      <w:r w:rsidR="004729C9" w:rsidRPr="004729C9">
        <w:rPr>
          <w:rFonts w:ascii="Arial" w:hAnsi="Arial" w:cs="Arial"/>
          <w:sz w:val="20"/>
          <w:szCs w:val="20"/>
          <w:vertAlign w:val="subscript"/>
        </w:rPr>
        <w:t>2</w:t>
      </w:r>
      <w:r w:rsidR="004729C9">
        <w:rPr>
          <w:rFonts w:ascii="Arial" w:hAnsi="Arial" w:cs="Arial"/>
          <w:sz w:val="20"/>
          <w:szCs w:val="20"/>
        </w:rPr>
        <w:t xml:space="preserve"> or XeF</w:t>
      </w:r>
      <w:r w:rsidR="004729C9" w:rsidRPr="004729C9">
        <w:rPr>
          <w:rFonts w:ascii="Arial" w:hAnsi="Arial" w:cs="Arial"/>
          <w:sz w:val="20"/>
          <w:szCs w:val="20"/>
          <w:vertAlign w:val="subscript"/>
        </w:rPr>
        <w:t>2</w:t>
      </w:r>
      <w:r w:rsidR="004729C9">
        <w:rPr>
          <w:rFonts w:ascii="Arial" w:hAnsi="Arial" w:cs="Arial"/>
          <w:sz w:val="20"/>
          <w:szCs w:val="20"/>
        </w:rPr>
        <w:t xml:space="preserve"> as shown in Eqns. (4) and (5)</w:t>
      </w:r>
      <w:r w:rsidR="009B0D9C">
        <w:rPr>
          <w:rFonts w:ascii="Arial" w:hAnsi="Arial" w:cs="Arial"/>
          <w:sz w:val="20"/>
          <w:szCs w:val="20"/>
        </w:rPr>
        <w:t>,</w:t>
      </w:r>
      <w:r w:rsidR="004729C9">
        <w:rPr>
          <w:rFonts w:ascii="Arial" w:hAnsi="Arial" w:cs="Arial"/>
          <w:sz w:val="20"/>
          <w:szCs w:val="20"/>
        </w:rPr>
        <w:t xml:space="preserve"> although once prepared, </w:t>
      </w:r>
      <w:proofErr w:type="spellStart"/>
      <w:r w:rsidR="004729C9">
        <w:rPr>
          <w:rFonts w:ascii="Arial" w:hAnsi="Arial" w:cs="Arial"/>
          <w:sz w:val="20"/>
          <w:szCs w:val="20"/>
        </w:rPr>
        <w:t>perbro</w:t>
      </w:r>
      <w:r w:rsidR="00676588">
        <w:rPr>
          <w:rFonts w:ascii="Arial" w:hAnsi="Arial" w:cs="Arial"/>
          <w:sz w:val="20"/>
          <w:szCs w:val="20"/>
        </w:rPr>
        <w:t>ma</w:t>
      </w:r>
      <w:r w:rsidR="004729C9">
        <w:rPr>
          <w:rFonts w:ascii="Arial" w:hAnsi="Arial" w:cs="Arial"/>
          <w:sz w:val="20"/>
          <w:szCs w:val="20"/>
        </w:rPr>
        <w:t>te</w:t>
      </w:r>
      <w:proofErr w:type="spellEnd"/>
      <w:r w:rsidR="004729C9">
        <w:rPr>
          <w:rFonts w:ascii="Arial" w:hAnsi="Arial" w:cs="Arial"/>
          <w:sz w:val="20"/>
          <w:szCs w:val="20"/>
        </w:rPr>
        <w:t xml:space="preserve"> is kinetically stable in aqueous solution.</w:t>
      </w:r>
    </w:p>
    <w:p w14:paraId="10152B36" w14:textId="504E1F5F" w:rsidR="004729C9" w:rsidRDefault="004729C9" w:rsidP="004729C9">
      <w:pPr>
        <w:autoSpaceDE w:val="0"/>
        <w:autoSpaceDN w:val="0"/>
        <w:adjustRightInd w:val="0"/>
        <w:spacing w:after="120"/>
        <w:jc w:val="right"/>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BrO</w:t>
      </w:r>
      <w:r w:rsidRPr="004729C9">
        <w:rPr>
          <w:rFonts w:ascii="Arial" w:hAnsi="Arial" w:cs="Arial"/>
          <w:sz w:val="20"/>
          <w:szCs w:val="20"/>
          <w:vertAlign w:val="subscript"/>
        </w:rPr>
        <w:t>3</w:t>
      </w:r>
      <w:r>
        <w:rPr>
          <w:rFonts w:ascii="Arial" w:hAnsi="Arial" w:cs="Arial"/>
          <w:sz w:val="20"/>
          <w:szCs w:val="20"/>
        </w:rPr>
        <w:t>]  +  F</w:t>
      </w:r>
      <w:r w:rsidRPr="004729C9">
        <w:rPr>
          <w:rFonts w:ascii="Arial" w:hAnsi="Arial" w:cs="Arial"/>
          <w:sz w:val="20"/>
          <w:szCs w:val="20"/>
          <w:vertAlign w:val="subscript"/>
        </w:rPr>
        <w:t>2</w:t>
      </w:r>
      <w:r>
        <w:rPr>
          <w:rFonts w:ascii="Arial" w:hAnsi="Arial" w:cs="Arial"/>
          <w:sz w:val="20"/>
          <w:szCs w:val="20"/>
        </w:rPr>
        <w:t xml:space="preserve">  +  2 NaOH  </w:t>
      </w:r>
      <w:r w:rsidRPr="0029293E">
        <w:rPr>
          <w:rFonts w:ascii="Symbol" w:hAnsi="Symbol" w:cs="Arial"/>
          <w:sz w:val="20"/>
          <w:szCs w:val="20"/>
        </w:rPr>
        <w:t></w:t>
      </w:r>
      <w:r>
        <w:rPr>
          <w:rFonts w:ascii="Arial" w:hAnsi="Arial" w:cs="Arial"/>
          <w:sz w:val="20"/>
          <w:szCs w:val="20"/>
        </w:rPr>
        <w:t xml:space="preserve">  Na[BrO</w:t>
      </w:r>
      <w:r w:rsidRPr="004729C9">
        <w:rPr>
          <w:rFonts w:ascii="Arial" w:hAnsi="Arial" w:cs="Arial"/>
          <w:sz w:val="20"/>
          <w:szCs w:val="20"/>
          <w:vertAlign w:val="subscript"/>
        </w:rPr>
        <w:t>4</w:t>
      </w:r>
      <w:r>
        <w:rPr>
          <w:rFonts w:ascii="Arial" w:hAnsi="Arial" w:cs="Arial"/>
          <w:sz w:val="20"/>
          <w:szCs w:val="20"/>
        </w:rPr>
        <w:t xml:space="preserve">]  +  2 </w:t>
      </w:r>
      <w:proofErr w:type="spellStart"/>
      <w:r>
        <w:rPr>
          <w:rFonts w:ascii="Arial" w:hAnsi="Arial" w:cs="Arial"/>
          <w:sz w:val="20"/>
          <w:szCs w:val="20"/>
        </w:rPr>
        <w:t>NaF</w:t>
      </w:r>
      <w:proofErr w:type="spellEnd"/>
      <w:r>
        <w:rPr>
          <w:rFonts w:ascii="Arial" w:hAnsi="Arial" w:cs="Arial"/>
          <w:sz w:val="20"/>
          <w:szCs w:val="20"/>
        </w:rPr>
        <w:t xml:space="preserve">  +  H</w:t>
      </w:r>
      <w:r w:rsidRPr="004729C9">
        <w:rPr>
          <w:rFonts w:ascii="Arial" w:hAnsi="Arial" w:cs="Arial"/>
          <w:sz w:val="20"/>
          <w:szCs w:val="20"/>
          <w:vertAlign w:val="subscript"/>
        </w:rPr>
        <w:t>2</w:t>
      </w:r>
      <w:r>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t>(4)</w:t>
      </w:r>
    </w:p>
    <w:p w14:paraId="601661BE" w14:textId="781CB14F" w:rsidR="004729C9" w:rsidRDefault="004729C9" w:rsidP="004729C9">
      <w:pPr>
        <w:autoSpaceDE w:val="0"/>
        <w:autoSpaceDN w:val="0"/>
        <w:adjustRightInd w:val="0"/>
        <w:spacing w:after="120"/>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Na[</w:t>
      </w:r>
      <w:proofErr w:type="gramEnd"/>
      <w:r>
        <w:rPr>
          <w:rFonts w:ascii="Arial" w:hAnsi="Arial" w:cs="Arial"/>
          <w:sz w:val="20"/>
          <w:szCs w:val="20"/>
        </w:rPr>
        <w:t>BrO</w:t>
      </w:r>
      <w:r w:rsidRPr="004729C9">
        <w:rPr>
          <w:rFonts w:ascii="Arial" w:hAnsi="Arial" w:cs="Arial"/>
          <w:sz w:val="20"/>
          <w:szCs w:val="20"/>
          <w:vertAlign w:val="subscript"/>
        </w:rPr>
        <w:t>3</w:t>
      </w:r>
      <w:r>
        <w:rPr>
          <w:rFonts w:ascii="Arial" w:hAnsi="Arial" w:cs="Arial"/>
          <w:sz w:val="20"/>
          <w:szCs w:val="20"/>
        </w:rPr>
        <w:t>]  +  XeF</w:t>
      </w:r>
      <w:r w:rsidRPr="004729C9">
        <w:rPr>
          <w:rFonts w:ascii="Arial" w:hAnsi="Arial" w:cs="Arial"/>
          <w:sz w:val="20"/>
          <w:szCs w:val="20"/>
          <w:vertAlign w:val="subscript"/>
        </w:rPr>
        <w:t>2</w:t>
      </w:r>
      <w:r>
        <w:rPr>
          <w:rFonts w:ascii="Arial" w:hAnsi="Arial" w:cs="Arial"/>
          <w:sz w:val="20"/>
          <w:szCs w:val="20"/>
        </w:rPr>
        <w:t xml:space="preserve">  +  H</w:t>
      </w:r>
      <w:r w:rsidRPr="004729C9">
        <w:rPr>
          <w:rFonts w:ascii="Arial" w:hAnsi="Arial" w:cs="Arial"/>
          <w:sz w:val="20"/>
          <w:szCs w:val="20"/>
          <w:vertAlign w:val="subscript"/>
        </w:rPr>
        <w:t>2</w:t>
      </w:r>
      <w:r>
        <w:rPr>
          <w:rFonts w:ascii="Arial" w:hAnsi="Arial" w:cs="Arial"/>
          <w:sz w:val="20"/>
          <w:szCs w:val="20"/>
        </w:rPr>
        <w:t xml:space="preserve">O  </w:t>
      </w:r>
      <w:r w:rsidRPr="0029293E">
        <w:rPr>
          <w:rFonts w:ascii="Symbol" w:hAnsi="Symbol" w:cs="Arial"/>
          <w:sz w:val="20"/>
          <w:szCs w:val="20"/>
        </w:rPr>
        <w:t></w:t>
      </w:r>
      <w:r>
        <w:rPr>
          <w:rFonts w:ascii="Arial" w:hAnsi="Arial" w:cs="Arial"/>
          <w:sz w:val="20"/>
          <w:szCs w:val="20"/>
        </w:rPr>
        <w:t xml:space="preserve">  Na[BrO</w:t>
      </w:r>
      <w:r w:rsidRPr="004729C9">
        <w:rPr>
          <w:rFonts w:ascii="Arial" w:hAnsi="Arial" w:cs="Arial"/>
          <w:sz w:val="20"/>
          <w:szCs w:val="20"/>
          <w:vertAlign w:val="subscript"/>
        </w:rPr>
        <w:t>4</w:t>
      </w:r>
      <w:r>
        <w:rPr>
          <w:rFonts w:ascii="Arial" w:hAnsi="Arial" w:cs="Arial"/>
          <w:sz w:val="20"/>
          <w:szCs w:val="20"/>
        </w:rPr>
        <w:t>]  +  2 HF  +  Xe</w:t>
      </w:r>
      <w:r>
        <w:rPr>
          <w:rFonts w:ascii="Arial" w:hAnsi="Arial" w:cs="Arial"/>
          <w:sz w:val="20"/>
          <w:szCs w:val="20"/>
        </w:rPr>
        <w:tab/>
      </w:r>
      <w:r>
        <w:rPr>
          <w:rFonts w:ascii="Arial" w:hAnsi="Arial" w:cs="Arial"/>
          <w:sz w:val="20"/>
          <w:szCs w:val="20"/>
        </w:rPr>
        <w:tab/>
      </w:r>
      <w:r>
        <w:rPr>
          <w:rFonts w:ascii="Arial" w:hAnsi="Arial" w:cs="Arial"/>
          <w:sz w:val="20"/>
          <w:szCs w:val="20"/>
        </w:rPr>
        <w:tab/>
        <w:t>(5)</w:t>
      </w:r>
    </w:p>
    <w:p w14:paraId="47C17F7D" w14:textId="7B2431F2" w:rsidR="0072271E" w:rsidRPr="00D8229F" w:rsidRDefault="00B7787F" w:rsidP="009234E8">
      <w:pPr>
        <w:autoSpaceDE w:val="0"/>
        <w:autoSpaceDN w:val="0"/>
        <w:adjustRightInd w:val="0"/>
        <w:spacing w:after="120"/>
        <w:jc w:val="both"/>
        <w:rPr>
          <w:rFonts w:ascii="Arial" w:hAnsi="Arial" w:cs="Arial"/>
          <w:sz w:val="20"/>
          <w:szCs w:val="20"/>
        </w:rPr>
      </w:pPr>
      <w:r>
        <w:rPr>
          <w:rFonts w:ascii="Arial" w:hAnsi="Arial" w:cs="Arial"/>
          <w:sz w:val="20"/>
          <w:szCs w:val="20"/>
        </w:rPr>
        <w:t xml:space="preserve">That </w:t>
      </w:r>
      <w:proofErr w:type="spellStart"/>
      <w:r>
        <w:rPr>
          <w:rFonts w:ascii="Arial" w:hAnsi="Arial" w:cs="Arial"/>
          <w:sz w:val="20"/>
          <w:szCs w:val="20"/>
        </w:rPr>
        <w:t>p</w:t>
      </w:r>
      <w:r w:rsidR="00D8229F">
        <w:rPr>
          <w:rFonts w:ascii="Arial" w:hAnsi="Arial" w:cs="Arial"/>
          <w:sz w:val="20"/>
          <w:szCs w:val="20"/>
        </w:rPr>
        <w:t>erbromate</w:t>
      </w:r>
      <w:proofErr w:type="spellEnd"/>
      <w:r w:rsidR="00D8229F">
        <w:rPr>
          <w:rFonts w:ascii="Arial" w:hAnsi="Arial" w:cs="Arial"/>
          <w:sz w:val="20"/>
          <w:szCs w:val="20"/>
        </w:rPr>
        <w:t xml:space="preserve"> is a stronger oxidising agent than either perchlorate or periodate is clear from the standard reduction poten</w:t>
      </w:r>
      <w:r w:rsidR="00AB4457">
        <w:rPr>
          <w:rFonts w:ascii="Arial" w:hAnsi="Arial" w:cs="Arial"/>
          <w:sz w:val="20"/>
          <w:szCs w:val="20"/>
        </w:rPr>
        <w:t>t</w:t>
      </w:r>
      <w:r w:rsidR="00D8229F">
        <w:rPr>
          <w:rFonts w:ascii="Arial" w:hAnsi="Arial" w:cs="Arial"/>
          <w:sz w:val="20"/>
          <w:szCs w:val="20"/>
        </w:rPr>
        <w:t>ials shown in Eqns. (</w:t>
      </w:r>
      <w:r w:rsidR="00164B5B">
        <w:rPr>
          <w:rFonts w:ascii="Arial" w:hAnsi="Arial" w:cs="Arial"/>
          <w:sz w:val="20"/>
          <w:szCs w:val="20"/>
        </w:rPr>
        <w:t>6</w:t>
      </w:r>
      <w:r w:rsidR="00D8229F">
        <w:rPr>
          <w:rFonts w:ascii="Arial" w:hAnsi="Arial" w:cs="Arial"/>
          <w:sz w:val="20"/>
          <w:szCs w:val="20"/>
        </w:rPr>
        <w:t>)-(</w:t>
      </w:r>
      <w:r w:rsidR="00164B5B">
        <w:rPr>
          <w:rFonts w:ascii="Arial" w:hAnsi="Arial" w:cs="Arial"/>
          <w:sz w:val="20"/>
          <w:szCs w:val="20"/>
        </w:rPr>
        <w:t>8</w:t>
      </w:r>
      <w:r w:rsidR="00D8229F">
        <w:rPr>
          <w:rFonts w:ascii="Arial" w:hAnsi="Arial" w:cs="Arial"/>
          <w:sz w:val="20"/>
          <w:szCs w:val="20"/>
        </w:rPr>
        <w:t>).</w:t>
      </w:r>
    </w:p>
    <w:p w14:paraId="3717096E" w14:textId="13427A13" w:rsidR="00DA5597" w:rsidRDefault="00DA5597" w:rsidP="00D8229F">
      <w:pPr>
        <w:autoSpaceDE w:val="0"/>
        <w:autoSpaceDN w:val="0"/>
        <w:adjustRightInd w:val="0"/>
        <w:spacing w:after="120"/>
        <w:jc w:val="right"/>
        <w:rPr>
          <w:rFonts w:ascii="Arial" w:hAnsi="Arial" w:cs="Arial"/>
          <w:sz w:val="20"/>
          <w:szCs w:val="20"/>
        </w:rPr>
      </w:pPr>
      <w:r>
        <w:rPr>
          <w:rFonts w:ascii="Arial" w:hAnsi="Arial" w:cs="Arial"/>
          <w:sz w:val="20"/>
          <w:szCs w:val="20"/>
        </w:rPr>
        <w:t>[</w:t>
      </w:r>
      <w:r w:rsidR="00ED1D50">
        <w:rPr>
          <w:rFonts w:ascii="Arial" w:hAnsi="Arial" w:cs="Arial"/>
          <w:sz w:val="20"/>
          <w:szCs w:val="20"/>
        </w:rPr>
        <w:t>Cl</w:t>
      </w:r>
      <w:r>
        <w:rPr>
          <w:rFonts w:ascii="Arial" w:hAnsi="Arial" w:cs="Arial"/>
          <w:sz w:val="20"/>
          <w:szCs w:val="20"/>
        </w:rPr>
        <w:t>O</w:t>
      </w:r>
      <w:r w:rsidRPr="00DA5597">
        <w:rPr>
          <w:rFonts w:ascii="Arial" w:hAnsi="Arial" w:cs="Arial"/>
          <w:sz w:val="20"/>
          <w:szCs w:val="20"/>
          <w:vertAlign w:val="subscript"/>
        </w:rPr>
        <w:t>4</w:t>
      </w:r>
      <w:r>
        <w:rPr>
          <w:rFonts w:ascii="Arial" w:hAnsi="Arial" w:cs="Arial"/>
          <w:sz w:val="20"/>
          <w:szCs w:val="20"/>
        </w:rPr>
        <w:t>]</w:t>
      </w:r>
      <w:proofErr w:type="gramStart"/>
      <w:r w:rsidRPr="00DA5597">
        <w:rPr>
          <w:rFonts w:ascii="Arial" w:hAnsi="Arial" w:cs="Arial"/>
          <w:sz w:val="20"/>
          <w:szCs w:val="20"/>
          <w:vertAlign w:val="superscript"/>
        </w:rPr>
        <w:t>–</w:t>
      </w:r>
      <w:r>
        <w:rPr>
          <w:rFonts w:ascii="Arial" w:hAnsi="Arial" w:cs="Arial"/>
          <w:sz w:val="20"/>
          <w:szCs w:val="20"/>
        </w:rPr>
        <w:t xml:space="preserve">  +</w:t>
      </w:r>
      <w:proofErr w:type="gramEnd"/>
      <w:r>
        <w:rPr>
          <w:rFonts w:ascii="Arial" w:hAnsi="Arial" w:cs="Arial"/>
          <w:sz w:val="20"/>
          <w:szCs w:val="20"/>
        </w:rPr>
        <w:t xml:space="preserve">  2H</w:t>
      </w:r>
      <w:r w:rsidRPr="00DA5597">
        <w:rPr>
          <w:rFonts w:ascii="Arial" w:hAnsi="Arial" w:cs="Arial"/>
          <w:sz w:val="20"/>
          <w:szCs w:val="20"/>
          <w:vertAlign w:val="superscript"/>
        </w:rPr>
        <w:t>+</w:t>
      </w:r>
      <w:r>
        <w:rPr>
          <w:rFonts w:ascii="Arial" w:hAnsi="Arial" w:cs="Arial"/>
          <w:sz w:val="20"/>
          <w:szCs w:val="20"/>
        </w:rPr>
        <w:t xml:space="preserve">  +  2e</w:t>
      </w:r>
      <w:r w:rsidRPr="00DA5597">
        <w:rPr>
          <w:rFonts w:ascii="Arial" w:hAnsi="Arial" w:cs="Arial"/>
          <w:sz w:val="20"/>
          <w:szCs w:val="20"/>
          <w:vertAlign w:val="superscript"/>
        </w:rPr>
        <w:t>–</w:t>
      </w:r>
      <w:r>
        <w:rPr>
          <w:rFonts w:ascii="Arial" w:hAnsi="Arial" w:cs="Arial"/>
          <w:sz w:val="20"/>
          <w:szCs w:val="20"/>
        </w:rPr>
        <w:t xml:space="preserve">  </w:t>
      </w:r>
      <w:r w:rsidR="00045186" w:rsidRPr="00045186">
        <w:rPr>
          <w:rFonts w:ascii="Cambria Math" w:eastAsia="Times New Roman" w:hAnsi="Cambria Math" w:cs="Cambria Math"/>
          <w:color w:val="333333"/>
          <w:sz w:val="21"/>
          <w:szCs w:val="21"/>
          <w:shd w:val="clear" w:color="auto" w:fill="FFFFFF"/>
          <w:lang w:eastAsia="en-GB"/>
        </w:rPr>
        <w:t>⇌</w:t>
      </w:r>
      <w:r>
        <w:rPr>
          <w:rFonts w:ascii="Arial" w:hAnsi="Arial" w:cs="Arial"/>
          <w:sz w:val="20"/>
          <w:szCs w:val="20"/>
        </w:rPr>
        <w:t xml:space="preserve">  [</w:t>
      </w:r>
      <w:r w:rsidR="00ED1D50">
        <w:rPr>
          <w:rFonts w:ascii="Arial" w:hAnsi="Arial" w:cs="Arial"/>
          <w:sz w:val="20"/>
          <w:szCs w:val="20"/>
        </w:rPr>
        <w:t>Cl</w:t>
      </w:r>
      <w:r>
        <w:rPr>
          <w:rFonts w:ascii="Arial" w:hAnsi="Arial" w:cs="Arial"/>
          <w:sz w:val="20"/>
          <w:szCs w:val="20"/>
        </w:rPr>
        <w:t>O</w:t>
      </w:r>
      <w:r w:rsidRPr="00DA5597">
        <w:rPr>
          <w:rFonts w:ascii="Arial" w:hAnsi="Arial" w:cs="Arial"/>
          <w:sz w:val="20"/>
          <w:szCs w:val="20"/>
          <w:vertAlign w:val="subscript"/>
        </w:rPr>
        <w:t>3</w:t>
      </w:r>
      <w:r>
        <w:rPr>
          <w:rFonts w:ascii="Arial" w:hAnsi="Arial" w:cs="Arial"/>
          <w:sz w:val="20"/>
          <w:szCs w:val="20"/>
        </w:rPr>
        <w:t>]</w:t>
      </w:r>
      <w:r w:rsidRPr="00DA5597">
        <w:rPr>
          <w:rFonts w:ascii="Arial" w:hAnsi="Arial" w:cs="Arial"/>
          <w:sz w:val="20"/>
          <w:szCs w:val="20"/>
          <w:vertAlign w:val="superscript"/>
        </w:rPr>
        <w:t>–</w:t>
      </w:r>
      <w:r>
        <w:rPr>
          <w:rFonts w:ascii="Arial" w:hAnsi="Arial" w:cs="Arial"/>
          <w:sz w:val="20"/>
          <w:szCs w:val="20"/>
        </w:rPr>
        <w:t xml:space="preserve">  +  H</w:t>
      </w:r>
      <w:r w:rsidRPr="00DA5597">
        <w:rPr>
          <w:rFonts w:ascii="Arial" w:hAnsi="Arial" w:cs="Arial"/>
          <w:sz w:val="20"/>
          <w:szCs w:val="20"/>
          <w:vertAlign w:val="subscript"/>
        </w:rPr>
        <w:t>2</w:t>
      </w:r>
      <w:r>
        <w:rPr>
          <w:rFonts w:ascii="Arial" w:hAnsi="Arial" w:cs="Arial"/>
          <w:sz w:val="20"/>
          <w:szCs w:val="20"/>
        </w:rPr>
        <w:t>O</w:t>
      </w:r>
      <w:r w:rsidR="00ED1D50">
        <w:rPr>
          <w:rFonts w:ascii="Arial" w:hAnsi="Arial" w:cs="Arial"/>
          <w:sz w:val="20"/>
          <w:szCs w:val="20"/>
        </w:rPr>
        <w:tab/>
      </w:r>
      <w:r w:rsidR="00ED1D50">
        <w:rPr>
          <w:rFonts w:ascii="Arial" w:hAnsi="Arial" w:cs="Arial"/>
          <w:sz w:val="20"/>
          <w:szCs w:val="20"/>
        </w:rPr>
        <w:tab/>
      </w:r>
      <w:proofErr w:type="spellStart"/>
      <w:r w:rsidR="00ED1D50" w:rsidRPr="00DA5597">
        <w:rPr>
          <w:rFonts w:ascii="Arial" w:hAnsi="Arial" w:cs="Arial"/>
          <w:i/>
          <w:iCs/>
          <w:sz w:val="20"/>
          <w:szCs w:val="20"/>
        </w:rPr>
        <w:t>E</w:t>
      </w:r>
      <w:r w:rsidR="00ED1D50" w:rsidRPr="00DA5597">
        <w:rPr>
          <w:rFonts w:ascii="Arial" w:hAnsi="Arial" w:cs="Arial"/>
          <w:sz w:val="20"/>
          <w:szCs w:val="20"/>
          <w:vertAlign w:val="superscript"/>
        </w:rPr>
        <w:t>o</w:t>
      </w:r>
      <w:proofErr w:type="spellEnd"/>
      <w:r w:rsidR="00ED1D50">
        <w:rPr>
          <w:rFonts w:ascii="Arial" w:hAnsi="Arial" w:cs="Arial"/>
          <w:sz w:val="20"/>
          <w:szCs w:val="20"/>
        </w:rPr>
        <w:t xml:space="preserve"> = +1.</w:t>
      </w:r>
      <w:r w:rsidR="00164B5B">
        <w:rPr>
          <w:rFonts w:ascii="Arial" w:hAnsi="Arial" w:cs="Arial"/>
          <w:sz w:val="20"/>
          <w:szCs w:val="20"/>
        </w:rPr>
        <w:t>201</w:t>
      </w:r>
      <w:r w:rsidR="00ED1D50">
        <w:rPr>
          <w:rFonts w:ascii="Arial" w:hAnsi="Arial" w:cs="Arial"/>
          <w:sz w:val="20"/>
          <w:szCs w:val="20"/>
        </w:rPr>
        <w:t xml:space="preserve"> V</w:t>
      </w:r>
      <w:r w:rsidR="00D8229F">
        <w:rPr>
          <w:rFonts w:ascii="Arial" w:hAnsi="Arial" w:cs="Arial"/>
          <w:sz w:val="20"/>
          <w:szCs w:val="20"/>
        </w:rPr>
        <w:tab/>
      </w:r>
      <w:r w:rsidR="00D8229F">
        <w:rPr>
          <w:rFonts w:ascii="Arial" w:hAnsi="Arial" w:cs="Arial"/>
          <w:sz w:val="20"/>
          <w:szCs w:val="20"/>
        </w:rPr>
        <w:tab/>
        <w:t>(</w:t>
      </w:r>
      <w:r w:rsidR="00164B5B">
        <w:rPr>
          <w:rFonts w:ascii="Arial" w:hAnsi="Arial" w:cs="Arial"/>
          <w:sz w:val="20"/>
          <w:szCs w:val="20"/>
        </w:rPr>
        <w:t>6</w:t>
      </w:r>
      <w:r w:rsidR="00D8229F">
        <w:rPr>
          <w:rFonts w:ascii="Arial" w:hAnsi="Arial" w:cs="Arial"/>
          <w:sz w:val="20"/>
          <w:szCs w:val="20"/>
        </w:rPr>
        <w:t>)</w:t>
      </w:r>
    </w:p>
    <w:p w14:paraId="3D8D66E7" w14:textId="77DE4022" w:rsidR="00ED1D50" w:rsidRDefault="00ED1D50" w:rsidP="00D8229F">
      <w:pPr>
        <w:autoSpaceDE w:val="0"/>
        <w:autoSpaceDN w:val="0"/>
        <w:adjustRightInd w:val="0"/>
        <w:spacing w:after="120"/>
        <w:jc w:val="right"/>
        <w:rPr>
          <w:rFonts w:ascii="Arial" w:hAnsi="Arial" w:cs="Arial"/>
          <w:sz w:val="20"/>
          <w:szCs w:val="20"/>
        </w:rPr>
      </w:pPr>
      <w:r>
        <w:rPr>
          <w:rFonts w:ascii="Arial" w:hAnsi="Arial" w:cs="Arial"/>
          <w:sz w:val="20"/>
          <w:szCs w:val="20"/>
        </w:rPr>
        <w:t>[BrO</w:t>
      </w:r>
      <w:r w:rsidRPr="00DA5597">
        <w:rPr>
          <w:rFonts w:ascii="Arial" w:hAnsi="Arial" w:cs="Arial"/>
          <w:sz w:val="20"/>
          <w:szCs w:val="20"/>
          <w:vertAlign w:val="subscript"/>
        </w:rPr>
        <w:t>4</w:t>
      </w:r>
      <w:r>
        <w:rPr>
          <w:rFonts w:ascii="Arial" w:hAnsi="Arial" w:cs="Arial"/>
          <w:sz w:val="20"/>
          <w:szCs w:val="20"/>
        </w:rPr>
        <w:t>]</w:t>
      </w:r>
      <w:proofErr w:type="gramStart"/>
      <w:r w:rsidRPr="00DA5597">
        <w:rPr>
          <w:rFonts w:ascii="Arial" w:hAnsi="Arial" w:cs="Arial"/>
          <w:sz w:val="20"/>
          <w:szCs w:val="20"/>
          <w:vertAlign w:val="superscript"/>
        </w:rPr>
        <w:t>–</w:t>
      </w:r>
      <w:r>
        <w:rPr>
          <w:rFonts w:ascii="Arial" w:hAnsi="Arial" w:cs="Arial"/>
          <w:sz w:val="20"/>
          <w:szCs w:val="20"/>
        </w:rPr>
        <w:t xml:space="preserve">  +</w:t>
      </w:r>
      <w:proofErr w:type="gramEnd"/>
      <w:r>
        <w:rPr>
          <w:rFonts w:ascii="Arial" w:hAnsi="Arial" w:cs="Arial"/>
          <w:sz w:val="20"/>
          <w:szCs w:val="20"/>
        </w:rPr>
        <w:t xml:space="preserve">  2H</w:t>
      </w:r>
      <w:r w:rsidRPr="00DA5597">
        <w:rPr>
          <w:rFonts w:ascii="Arial" w:hAnsi="Arial" w:cs="Arial"/>
          <w:sz w:val="20"/>
          <w:szCs w:val="20"/>
          <w:vertAlign w:val="superscript"/>
        </w:rPr>
        <w:t>+</w:t>
      </w:r>
      <w:r>
        <w:rPr>
          <w:rFonts w:ascii="Arial" w:hAnsi="Arial" w:cs="Arial"/>
          <w:sz w:val="20"/>
          <w:szCs w:val="20"/>
        </w:rPr>
        <w:t xml:space="preserve">  +  2e</w:t>
      </w:r>
      <w:r w:rsidRPr="00DA5597">
        <w:rPr>
          <w:rFonts w:ascii="Arial" w:hAnsi="Arial" w:cs="Arial"/>
          <w:sz w:val="20"/>
          <w:szCs w:val="20"/>
          <w:vertAlign w:val="superscript"/>
        </w:rPr>
        <w:t>–</w:t>
      </w:r>
      <w:r>
        <w:rPr>
          <w:rFonts w:ascii="Arial" w:hAnsi="Arial" w:cs="Arial"/>
          <w:sz w:val="20"/>
          <w:szCs w:val="20"/>
        </w:rPr>
        <w:t xml:space="preserve">  </w:t>
      </w:r>
      <w:r w:rsidRPr="00045186">
        <w:rPr>
          <w:rFonts w:ascii="Cambria Math" w:eastAsia="Times New Roman" w:hAnsi="Cambria Math" w:cs="Cambria Math"/>
          <w:color w:val="333333"/>
          <w:sz w:val="21"/>
          <w:szCs w:val="21"/>
          <w:shd w:val="clear" w:color="auto" w:fill="FFFFFF"/>
          <w:lang w:eastAsia="en-GB"/>
        </w:rPr>
        <w:t>⇌</w:t>
      </w:r>
      <w:r>
        <w:rPr>
          <w:rFonts w:ascii="Arial" w:hAnsi="Arial" w:cs="Arial"/>
          <w:sz w:val="20"/>
          <w:szCs w:val="20"/>
        </w:rPr>
        <w:t xml:space="preserve">  [BrO</w:t>
      </w:r>
      <w:r w:rsidRPr="00DA5597">
        <w:rPr>
          <w:rFonts w:ascii="Arial" w:hAnsi="Arial" w:cs="Arial"/>
          <w:sz w:val="20"/>
          <w:szCs w:val="20"/>
          <w:vertAlign w:val="subscript"/>
        </w:rPr>
        <w:t>3</w:t>
      </w:r>
      <w:r>
        <w:rPr>
          <w:rFonts w:ascii="Arial" w:hAnsi="Arial" w:cs="Arial"/>
          <w:sz w:val="20"/>
          <w:szCs w:val="20"/>
        </w:rPr>
        <w:t>]</w:t>
      </w:r>
      <w:r w:rsidRPr="00DA5597">
        <w:rPr>
          <w:rFonts w:ascii="Arial" w:hAnsi="Arial" w:cs="Arial"/>
          <w:sz w:val="20"/>
          <w:szCs w:val="20"/>
          <w:vertAlign w:val="superscript"/>
        </w:rPr>
        <w:t>–</w:t>
      </w:r>
      <w:r>
        <w:rPr>
          <w:rFonts w:ascii="Arial" w:hAnsi="Arial" w:cs="Arial"/>
          <w:sz w:val="20"/>
          <w:szCs w:val="20"/>
        </w:rPr>
        <w:t xml:space="preserve">  +  H</w:t>
      </w:r>
      <w:r w:rsidRPr="00DA5597">
        <w:rPr>
          <w:rFonts w:ascii="Arial" w:hAnsi="Arial" w:cs="Arial"/>
          <w:sz w:val="20"/>
          <w:szCs w:val="20"/>
          <w:vertAlign w:val="subscript"/>
        </w:rPr>
        <w:t>2</w:t>
      </w:r>
      <w:r>
        <w:rPr>
          <w:rFonts w:ascii="Arial" w:hAnsi="Arial" w:cs="Arial"/>
          <w:sz w:val="20"/>
          <w:szCs w:val="20"/>
        </w:rPr>
        <w:t>O</w:t>
      </w:r>
      <w:r>
        <w:rPr>
          <w:rFonts w:ascii="Arial" w:hAnsi="Arial" w:cs="Arial"/>
          <w:sz w:val="20"/>
          <w:szCs w:val="20"/>
        </w:rPr>
        <w:tab/>
      </w:r>
      <w:r>
        <w:rPr>
          <w:rFonts w:ascii="Arial" w:hAnsi="Arial" w:cs="Arial"/>
          <w:sz w:val="20"/>
          <w:szCs w:val="20"/>
        </w:rPr>
        <w:tab/>
      </w:r>
      <w:proofErr w:type="spellStart"/>
      <w:r w:rsidRPr="00DA5597">
        <w:rPr>
          <w:rFonts w:ascii="Arial" w:hAnsi="Arial" w:cs="Arial"/>
          <w:i/>
          <w:iCs/>
          <w:sz w:val="20"/>
          <w:szCs w:val="20"/>
        </w:rPr>
        <w:t>E</w:t>
      </w:r>
      <w:r w:rsidRPr="00DA5597">
        <w:rPr>
          <w:rFonts w:ascii="Arial" w:hAnsi="Arial" w:cs="Arial"/>
          <w:sz w:val="20"/>
          <w:szCs w:val="20"/>
          <w:vertAlign w:val="superscript"/>
        </w:rPr>
        <w:t>o</w:t>
      </w:r>
      <w:proofErr w:type="spellEnd"/>
      <w:r>
        <w:rPr>
          <w:rFonts w:ascii="Arial" w:hAnsi="Arial" w:cs="Arial"/>
          <w:sz w:val="20"/>
          <w:szCs w:val="20"/>
        </w:rPr>
        <w:t xml:space="preserve"> = +1.</w:t>
      </w:r>
      <w:r w:rsidR="00164B5B">
        <w:rPr>
          <w:rFonts w:ascii="Arial" w:hAnsi="Arial" w:cs="Arial"/>
          <w:sz w:val="20"/>
          <w:szCs w:val="20"/>
        </w:rPr>
        <w:t>85</w:t>
      </w:r>
      <w:r>
        <w:rPr>
          <w:rFonts w:ascii="Arial" w:hAnsi="Arial" w:cs="Arial"/>
          <w:sz w:val="20"/>
          <w:szCs w:val="20"/>
        </w:rPr>
        <w:t xml:space="preserve"> V</w:t>
      </w:r>
      <w:r w:rsidR="00D8229F">
        <w:rPr>
          <w:rFonts w:ascii="Arial" w:hAnsi="Arial" w:cs="Arial"/>
          <w:sz w:val="20"/>
          <w:szCs w:val="20"/>
        </w:rPr>
        <w:tab/>
      </w:r>
      <w:r w:rsidR="00D8229F">
        <w:rPr>
          <w:rFonts w:ascii="Arial" w:hAnsi="Arial" w:cs="Arial"/>
          <w:sz w:val="20"/>
          <w:szCs w:val="20"/>
        </w:rPr>
        <w:tab/>
        <w:t>(</w:t>
      </w:r>
      <w:r w:rsidR="00164B5B">
        <w:rPr>
          <w:rFonts w:ascii="Arial" w:hAnsi="Arial" w:cs="Arial"/>
          <w:sz w:val="20"/>
          <w:szCs w:val="20"/>
        </w:rPr>
        <w:t>7</w:t>
      </w:r>
      <w:r w:rsidR="00D8229F">
        <w:rPr>
          <w:rFonts w:ascii="Arial" w:hAnsi="Arial" w:cs="Arial"/>
          <w:sz w:val="20"/>
          <w:szCs w:val="20"/>
        </w:rPr>
        <w:t>)</w:t>
      </w:r>
    </w:p>
    <w:p w14:paraId="05202486" w14:textId="016CA1C2" w:rsidR="00ED1D50" w:rsidRDefault="00D8229F" w:rsidP="00D8229F">
      <w:pPr>
        <w:autoSpaceDE w:val="0"/>
        <w:autoSpaceDN w:val="0"/>
        <w:adjustRightInd w:val="0"/>
        <w:spacing w:after="120"/>
        <w:jc w:val="right"/>
        <w:rPr>
          <w:rFonts w:ascii="Arial" w:hAnsi="Arial" w:cs="Arial"/>
          <w:sz w:val="20"/>
          <w:szCs w:val="20"/>
        </w:rPr>
      </w:pPr>
      <w:r>
        <w:rPr>
          <w:rFonts w:ascii="Arial" w:hAnsi="Arial" w:cs="Arial"/>
          <w:sz w:val="20"/>
          <w:szCs w:val="20"/>
        </w:rPr>
        <w:t xml:space="preserve">   </w:t>
      </w:r>
      <w:r w:rsidR="00ED1D50">
        <w:rPr>
          <w:rFonts w:ascii="Arial" w:hAnsi="Arial" w:cs="Arial"/>
          <w:sz w:val="20"/>
          <w:szCs w:val="20"/>
        </w:rPr>
        <w:t>H</w:t>
      </w:r>
      <w:r w:rsidR="00ED1D50" w:rsidRPr="00ED1D50">
        <w:rPr>
          <w:rFonts w:ascii="Arial" w:hAnsi="Arial" w:cs="Arial"/>
          <w:sz w:val="20"/>
          <w:szCs w:val="20"/>
          <w:vertAlign w:val="subscript"/>
        </w:rPr>
        <w:t>5</w:t>
      </w:r>
      <w:r w:rsidR="00ED1D50">
        <w:rPr>
          <w:rFonts w:ascii="Arial" w:hAnsi="Arial" w:cs="Arial"/>
          <w:sz w:val="20"/>
          <w:szCs w:val="20"/>
        </w:rPr>
        <w:t>IO</w:t>
      </w:r>
      <w:proofErr w:type="gramStart"/>
      <w:r w:rsidR="00ED1D50" w:rsidRPr="00ED1D50">
        <w:rPr>
          <w:rFonts w:ascii="Arial" w:hAnsi="Arial" w:cs="Arial"/>
          <w:sz w:val="20"/>
          <w:szCs w:val="20"/>
          <w:vertAlign w:val="subscript"/>
        </w:rPr>
        <w:t>6</w:t>
      </w:r>
      <w:r w:rsidR="00ED1D50">
        <w:rPr>
          <w:rFonts w:ascii="Arial" w:hAnsi="Arial" w:cs="Arial"/>
          <w:sz w:val="20"/>
          <w:szCs w:val="20"/>
        </w:rPr>
        <w:t xml:space="preserve">  </w:t>
      </w:r>
      <w:r w:rsidR="00DA35FD">
        <w:rPr>
          <w:rFonts w:ascii="Arial" w:hAnsi="Arial" w:cs="Arial"/>
          <w:sz w:val="20"/>
          <w:szCs w:val="20"/>
        </w:rPr>
        <w:t>+</w:t>
      </w:r>
      <w:proofErr w:type="gramEnd"/>
      <w:r w:rsidR="00DA35FD">
        <w:rPr>
          <w:rFonts w:ascii="Arial" w:hAnsi="Arial" w:cs="Arial"/>
          <w:sz w:val="20"/>
          <w:szCs w:val="20"/>
        </w:rPr>
        <w:t xml:space="preserve">  H</w:t>
      </w:r>
      <w:r w:rsidR="00DA35FD" w:rsidRPr="00DA5597">
        <w:rPr>
          <w:rFonts w:ascii="Arial" w:hAnsi="Arial" w:cs="Arial"/>
          <w:sz w:val="20"/>
          <w:szCs w:val="20"/>
          <w:vertAlign w:val="superscript"/>
        </w:rPr>
        <w:t>+</w:t>
      </w:r>
      <w:r w:rsidR="00DA35FD">
        <w:rPr>
          <w:rFonts w:ascii="Arial" w:hAnsi="Arial" w:cs="Arial"/>
          <w:sz w:val="20"/>
          <w:szCs w:val="20"/>
        </w:rPr>
        <w:t xml:space="preserve">  +  2e</w:t>
      </w:r>
      <w:r w:rsidR="00DA35FD" w:rsidRPr="00DA5597">
        <w:rPr>
          <w:rFonts w:ascii="Arial" w:hAnsi="Arial" w:cs="Arial"/>
          <w:sz w:val="20"/>
          <w:szCs w:val="20"/>
          <w:vertAlign w:val="superscript"/>
        </w:rPr>
        <w:t>–</w:t>
      </w:r>
      <w:r w:rsidR="00DA35FD">
        <w:rPr>
          <w:rFonts w:ascii="Arial" w:hAnsi="Arial" w:cs="Arial"/>
          <w:sz w:val="20"/>
          <w:szCs w:val="20"/>
        </w:rPr>
        <w:t xml:space="preserve">  </w:t>
      </w:r>
      <w:r w:rsidR="00ED1D50" w:rsidRPr="00045186">
        <w:rPr>
          <w:rFonts w:ascii="Cambria Math" w:eastAsia="Times New Roman" w:hAnsi="Cambria Math" w:cs="Cambria Math"/>
          <w:color w:val="333333"/>
          <w:sz w:val="21"/>
          <w:szCs w:val="21"/>
          <w:shd w:val="clear" w:color="auto" w:fill="FFFFFF"/>
          <w:lang w:eastAsia="en-GB"/>
        </w:rPr>
        <w:t>⇌</w:t>
      </w:r>
      <w:r w:rsidR="00ED1D50" w:rsidRPr="00ED1D50">
        <w:rPr>
          <w:rFonts w:ascii="Arial" w:eastAsia="Times New Roman" w:hAnsi="Arial" w:cs="Arial"/>
          <w:color w:val="333333"/>
          <w:sz w:val="20"/>
          <w:szCs w:val="20"/>
          <w:shd w:val="clear" w:color="auto" w:fill="FFFFFF"/>
          <w:lang w:eastAsia="en-GB"/>
        </w:rPr>
        <w:t xml:space="preserve">  </w:t>
      </w:r>
      <w:r w:rsidR="00ED1D50">
        <w:rPr>
          <w:rFonts w:ascii="Arial" w:hAnsi="Arial" w:cs="Arial"/>
          <w:sz w:val="20"/>
          <w:szCs w:val="20"/>
        </w:rPr>
        <w:t>[IO</w:t>
      </w:r>
      <w:r w:rsidR="00ED1D50" w:rsidRPr="00DA5597">
        <w:rPr>
          <w:rFonts w:ascii="Arial" w:hAnsi="Arial" w:cs="Arial"/>
          <w:sz w:val="20"/>
          <w:szCs w:val="20"/>
          <w:vertAlign w:val="subscript"/>
        </w:rPr>
        <w:t>3</w:t>
      </w:r>
      <w:r w:rsidR="00ED1D50">
        <w:rPr>
          <w:rFonts w:ascii="Arial" w:hAnsi="Arial" w:cs="Arial"/>
          <w:sz w:val="20"/>
          <w:szCs w:val="20"/>
        </w:rPr>
        <w:t>]</w:t>
      </w:r>
      <w:r w:rsidR="00ED1D50" w:rsidRPr="00DA5597">
        <w:rPr>
          <w:rFonts w:ascii="Arial" w:hAnsi="Arial" w:cs="Arial"/>
          <w:sz w:val="20"/>
          <w:szCs w:val="20"/>
          <w:vertAlign w:val="superscript"/>
        </w:rPr>
        <w:t>–</w:t>
      </w:r>
      <w:r w:rsidR="00ED1D50">
        <w:rPr>
          <w:rFonts w:ascii="Arial" w:hAnsi="Arial" w:cs="Arial"/>
          <w:sz w:val="20"/>
          <w:szCs w:val="20"/>
        </w:rPr>
        <w:t xml:space="preserve">  +  </w:t>
      </w:r>
      <w:r w:rsidR="00DA35FD">
        <w:rPr>
          <w:rFonts w:ascii="Arial" w:hAnsi="Arial" w:cs="Arial"/>
          <w:sz w:val="20"/>
          <w:szCs w:val="20"/>
        </w:rPr>
        <w:t>3</w:t>
      </w:r>
      <w:r w:rsidR="00ED1D50">
        <w:rPr>
          <w:rFonts w:ascii="Arial" w:hAnsi="Arial" w:cs="Arial"/>
          <w:sz w:val="20"/>
          <w:szCs w:val="20"/>
        </w:rPr>
        <w:t>H</w:t>
      </w:r>
      <w:r w:rsidR="00ED1D50" w:rsidRPr="00DA5597">
        <w:rPr>
          <w:rFonts w:ascii="Arial" w:hAnsi="Arial" w:cs="Arial"/>
          <w:sz w:val="20"/>
          <w:szCs w:val="20"/>
          <w:vertAlign w:val="subscript"/>
        </w:rPr>
        <w:t>2</w:t>
      </w:r>
      <w:r w:rsidR="00ED1D50">
        <w:rPr>
          <w:rFonts w:ascii="Arial" w:hAnsi="Arial" w:cs="Arial"/>
          <w:sz w:val="20"/>
          <w:szCs w:val="20"/>
        </w:rPr>
        <w:t>O</w:t>
      </w:r>
      <w:r w:rsidR="00ED1D50">
        <w:rPr>
          <w:rFonts w:ascii="Arial" w:hAnsi="Arial" w:cs="Arial"/>
          <w:sz w:val="20"/>
          <w:szCs w:val="20"/>
        </w:rPr>
        <w:tab/>
      </w:r>
      <w:r w:rsidR="00ED1D50">
        <w:rPr>
          <w:rFonts w:ascii="Arial" w:hAnsi="Arial" w:cs="Arial"/>
          <w:sz w:val="20"/>
          <w:szCs w:val="20"/>
        </w:rPr>
        <w:tab/>
      </w:r>
      <w:r w:rsidR="00DA35FD">
        <w:rPr>
          <w:rFonts w:ascii="Arial" w:hAnsi="Arial" w:cs="Arial"/>
          <w:sz w:val="20"/>
          <w:szCs w:val="20"/>
        </w:rPr>
        <w:tab/>
      </w:r>
      <w:proofErr w:type="spellStart"/>
      <w:r w:rsidR="00ED1D50" w:rsidRPr="00DA5597">
        <w:rPr>
          <w:rFonts w:ascii="Arial" w:hAnsi="Arial" w:cs="Arial"/>
          <w:i/>
          <w:iCs/>
          <w:sz w:val="20"/>
          <w:szCs w:val="20"/>
        </w:rPr>
        <w:t>E</w:t>
      </w:r>
      <w:r w:rsidR="00ED1D50" w:rsidRPr="00DA5597">
        <w:rPr>
          <w:rFonts w:ascii="Arial" w:hAnsi="Arial" w:cs="Arial"/>
          <w:sz w:val="20"/>
          <w:szCs w:val="20"/>
          <w:vertAlign w:val="superscript"/>
        </w:rPr>
        <w:t>o</w:t>
      </w:r>
      <w:proofErr w:type="spellEnd"/>
      <w:r w:rsidR="00ED1D50">
        <w:rPr>
          <w:rFonts w:ascii="Arial" w:hAnsi="Arial" w:cs="Arial"/>
          <w:sz w:val="20"/>
          <w:szCs w:val="20"/>
        </w:rPr>
        <w:t xml:space="preserve"> = +1.6</w:t>
      </w:r>
      <w:r w:rsidR="00164B5B">
        <w:rPr>
          <w:rFonts w:ascii="Arial" w:hAnsi="Arial" w:cs="Arial"/>
          <w:sz w:val="20"/>
          <w:szCs w:val="20"/>
        </w:rPr>
        <w:t>0</w:t>
      </w:r>
      <w:r w:rsidR="00ED1D50">
        <w:rPr>
          <w:rFonts w:ascii="Arial" w:hAnsi="Arial" w:cs="Arial"/>
          <w:sz w:val="20"/>
          <w:szCs w:val="20"/>
        </w:rPr>
        <w:t xml:space="preserve"> V</w:t>
      </w:r>
      <w:r>
        <w:rPr>
          <w:rFonts w:ascii="Arial" w:hAnsi="Arial" w:cs="Arial"/>
          <w:sz w:val="20"/>
          <w:szCs w:val="20"/>
        </w:rPr>
        <w:tab/>
      </w:r>
      <w:r>
        <w:rPr>
          <w:rFonts w:ascii="Arial" w:hAnsi="Arial" w:cs="Arial"/>
          <w:sz w:val="20"/>
          <w:szCs w:val="20"/>
        </w:rPr>
        <w:tab/>
        <w:t>(</w:t>
      </w:r>
      <w:r w:rsidR="00164B5B">
        <w:rPr>
          <w:rFonts w:ascii="Arial" w:hAnsi="Arial" w:cs="Arial"/>
          <w:sz w:val="20"/>
          <w:szCs w:val="20"/>
        </w:rPr>
        <w:t>8</w:t>
      </w:r>
      <w:r>
        <w:rPr>
          <w:rFonts w:ascii="Arial" w:hAnsi="Arial" w:cs="Arial"/>
          <w:sz w:val="20"/>
          <w:szCs w:val="20"/>
        </w:rPr>
        <w:t>)</w:t>
      </w:r>
    </w:p>
    <w:p w14:paraId="3F8637B7" w14:textId="3BF88B05" w:rsidR="00EC1A31" w:rsidRDefault="00AB4457" w:rsidP="00EC1A31">
      <w:pPr>
        <w:autoSpaceDE w:val="0"/>
        <w:autoSpaceDN w:val="0"/>
        <w:adjustRightInd w:val="0"/>
        <w:spacing w:after="120"/>
        <w:jc w:val="both"/>
        <w:rPr>
          <w:rFonts w:ascii="Arial" w:hAnsi="Arial" w:cs="Arial"/>
          <w:sz w:val="20"/>
          <w:szCs w:val="20"/>
        </w:rPr>
      </w:pPr>
      <w:r>
        <w:rPr>
          <w:rFonts w:ascii="Arial" w:hAnsi="Arial" w:cs="Arial"/>
          <w:sz w:val="20"/>
          <w:szCs w:val="20"/>
        </w:rPr>
        <w:t>Moreover, t</w:t>
      </w:r>
      <w:r w:rsidR="00EC1A31">
        <w:rPr>
          <w:rFonts w:ascii="Arial" w:hAnsi="Arial" w:cs="Arial"/>
          <w:sz w:val="20"/>
          <w:szCs w:val="20"/>
        </w:rPr>
        <w:t xml:space="preserve">he corresponding </w:t>
      </w:r>
      <w:r w:rsidR="005444F4">
        <w:rPr>
          <w:rFonts w:ascii="Arial" w:hAnsi="Arial" w:cs="Arial"/>
          <w:sz w:val="20"/>
          <w:szCs w:val="20"/>
        </w:rPr>
        <w:t>standard enthalpies</w:t>
      </w:r>
      <w:r w:rsidR="00EC1A31">
        <w:rPr>
          <w:rFonts w:ascii="Arial" w:hAnsi="Arial" w:cs="Arial"/>
          <w:sz w:val="20"/>
          <w:szCs w:val="20"/>
        </w:rPr>
        <w:t xml:space="preserve"> of formation (</w:t>
      </w:r>
      <w:proofErr w:type="spellStart"/>
      <w:r w:rsidR="00EC1A31" w:rsidRPr="00894E3D">
        <w:rPr>
          <w:rFonts w:ascii="Symbol" w:hAnsi="Symbol" w:cs="Arial"/>
          <w:sz w:val="20"/>
          <w:szCs w:val="20"/>
        </w:rPr>
        <w:t>D</w:t>
      </w:r>
      <w:r w:rsidR="005444F4">
        <w:rPr>
          <w:rFonts w:ascii="Arial" w:hAnsi="Arial" w:cs="Arial"/>
          <w:i/>
          <w:iCs/>
          <w:sz w:val="20"/>
          <w:szCs w:val="20"/>
        </w:rPr>
        <w:t>H</w:t>
      </w:r>
      <w:r w:rsidR="00EC1A31">
        <w:rPr>
          <w:rFonts w:ascii="Arial" w:hAnsi="Arial" w:cs="Arial"/>
          <w:sz w:val="20"/>
          <w:szCs w:val="20"/>
          <w:vertAlign w:val="subscript"/>
        </w:rPr>
        <w:t>f</w:t>
      </w:r>
      <w:r w:rsidR="00EC1A31" w:rsidRPr="00DA5597">
        <w:rPr>
          <w:rFonts w:ascii="Arial" w:hAnsi="Arial" w:cs="Arial"/>
          <w:sz w:val="20"/>
          <w:szCs w:val="20"/>
          <w:vertAlign w:val="superscript"/>
        </w:rPr>
        <w:t>o</w:t>
      </w:r>
      <w:proofErr w:type="spellEnd"/>
      <w:r w:rsidR="00EC1A31">
        <w:rPr>
          <w:rFonts w:ascii="Arial" w:hAnsi="Arial" w:cs="Arial"/>
          <w:sz w:val="20"/>
          <w:szCs w:val="20"/>
        </w:rPr>
        <w:t>) in kJ mol</w:t>
      </w:r>
      <w:r w:rsidR="00EC1A31" w:rsidRPr="00A03D98">
        <w:rPr>
          <w:rFonts w:ascii="Arial" w:hAnsi="Arial" w:cs="Arial"/>
          <w:sz w:val="20"/>
          <w:szCs w:val="20"/>
          <w:vertAlign w:val="superscript"/>
        </w:rPr>
        <w:t>–1</w:t>
      </w:r>
      <w:r w:rsidR="00EC1A31">
        <w:rPr>
          <w:rFonts w:ascii="Arial" w:hAnsi="Arial" w:cs="Arial"/>
          <w:sz w:val="20"/>
          <w:szCs w:val="20"/>
        </w:rPr>
        <w:t xml:space="preserve"> for the potassium salts of perchlorate, </w:t>
      </w:r>
      <w:proofErr w:type="spellStart"/>
      <w:r w:rsidR="00EC1A31">
        <w:rPr>
          <w:rFonts w:ascii="Arial" w:hAnsi="Arial" w:cs="Arial"/>
          <w:sz w:val="20"/>
          <w:szCs w:val="20"/>
        </w:rPr>
        <w:t>perbromate</w:t>
      </w:r>
      <w:proofErr w:type="spellEnd"/>
      <w:r w:rsidR="00EC1A31">
        <w:rPr>
          <w:rFonts w:ascii="Arial" w:hAnsi="Arial" w:cs="Arial"/>
          <w:sz w:val="20"/>
          <w:szCs w:val="20"/>
        </w:rPr>
        <w:t xml:space="preserve"> and periodate are: K</w:t>
      </w:r>
      <w:r w:rsidR="009B0D9C">
        <w:rPr>
          <w:rFonts w:ascii="Arial" w:hAnsi="Arial" w:cs="Arial"/>
          <w:sz w:val="20"/>
          <w:szCs w:val="20"/>
        </w:rPr>
        <w:t>[</w:t>
      </w:r>
      <w:r w:rsidR="00EC1A31">
        <w:rPr>
          <w:rFonts w:ascii="Arial" w:hAnsi="Arial" w:cs="Arial"/>
          <w:sz w:val="20"/>
          <w:szCs w:val="20"/>
        </w:rPr>
        <w:t>ClO</w:t>
      </w:r>
      <w:r w:rsidR="00EC1A31" w:rsidRPr="00EC1A31">
        <w:rPr>
          <w:rFonts w:ascii="Arial" w:hAnsi="Arial" w:cs="Arial"/>
          <w:sz w:val="20"/>
          <w:szCs w:val="20"/>
          <w:vertAlign w:val="subscript"/>
        </w:rPr>
        <w:t>4</w:t>
      </w:r>
      <w:r w:rsidR="009B0D9C">
        <w:rPr>
          <w:rFonts w:ascii="Arial" w:hAnsi="Arial" w:cs="Arial"/>
          <w:sz w:val="20"/>
          <w:szCs w:val="20"/>
        </w:rPr>
        <w:t>]</w:t>
      </w:r>
      <w:r w:rsidR="00EC1A31">
        <w:rPr>
          <w:rFonts w:ascii="Arial" w:hAnsi="Arial" w:cs="Arial"/>
          <w:sz w:val="20"/>
          <w:szCs w:val="20"/>
        </w:rPr>
        <w:t>, –</w:t>
      </w:r>
      <w:r w:rsidR="005444F4">
        <w:rPr>
          <w:rFonts w:ascii="Arial" w:hAnsi="Arial" w:cs="Arial"/>
          <w:sz w:val="20"/>
          <w:szCs w:val="20"/>
        </w:rPr>
        <w:t>432</w:t>
      </w:r>
      <w:r w:rsidR="00EC1A31">
        <w:rPr>
          <w:rFonts w:ascii="Arial" w:hAnsi="Arial" w:cs="Arial"/>
          <w:sz w:val="20"/>
          <w:szCs w:val="20"/>
        </w:rPr>
        <w:t>; K</w:t>
      </w:r>
      <w:r w:rsidR="009B0D9C">
        <w:rPr>
          <w:rFonts w:ascii="Arial" w:hAnsi="Arial" w:cs="Arial"/>
          <w:sz w:val="20"/>
          <w:szCs w:val="20"/>
        </w:rPr>
        <w:t>[</w:t>
      </w:r>
      <w:r w:rsidR="00EC1A31">
        <w:rPr>
          <w:rFonts w:ascii="Arial" w:hAnsi="Arial" w:cs="Arial"/>
          <w:sz w:val="20"/>
          <w:szCs w:val="20"/>
        </w:rPr>
        <w:t>BrO</w:t>
      </w:r>
      <w:r w:rsidR="00EC1A31" w:rsidRPr="00EC1A31">
        <w:rPr>
          <w:rFonts w:ascii="Arial" w:hAnsi="Arial" w:cs="Arial"/>
          <w:sz w:val="20"/>
          <w:szCs w:val="20"/>
          <w:vertAlign w:val="subscript"/>
        </w:rPr>
        <w:t>4</w:t>
      </w:r>
      <w:r w:rsidR="009B0D9C">
        <w:rPr>
          <w:rFonts w:ascii="Arial" w:hAnsi="Arial" w:cs="Arial"/>
          <w:sz w:val="20"/>
          <w:szCs w:val="20"/>
        </w:rPr>
        <w:t>]</w:t>
      </w:r>
      <w:r w:rsidR="00EC1A31">
        <w:rPr>
          <w:rFonts w:ascii="Arial" w:hAnsi="Arial" w:cs="Arial"/>
          <w:sz w:val="20"/>
          <w:szCs w:val="20"/>
        </w:rPr>
        <w:t>, –</w:t>
      </w:r>
      <w:r w:rsidR="005444F4">
        <w:rPr>
          <w:rFonts w:ascii="Arial" w:hAnsi="Arial" w:cs="Arial"/>
          <w:sz w:val="20"/>
          <w:szCs w:val="20"/>
        </w:rPr>
        <w:t>288</w:t>
      </w:r>
      <w:r w:rsidR="00EC1A31">
        <w:rPr>
          <w:rFonts w:ascii="Arial" w:hAnsi="Arial" w:cs="Arial"/>
          <w:sz w:val="20"/>
          <w:szCs w:val="20"/>
        </w:rPr>
        <w:t>; K</w:t>
      </w:r>
      <w:r w:rsidR="009B0D9C">
        <w:rPr>
          <w:rFonts w:ascii="Arial" w:hAnsi="Arial" w:cs="Arial"/>
          <w:sz w:val="20"/>
          <w:szCs w:val="20"/>
        </w:rPr>
        <w:t>[</w:t>
      </w:r>
      <w:r w:rsidR="00EC1A31">
        <w:rPr>
          <w:rFonts w:ascii="Arial" w:hAnsi="Arial" w:cs="Arial"/>
          <w:sz w:val="20"/>
          <w:szCs w:val="20"/>
        </w:rPr>
        <w:t>IO</w:t>
      </w:r>
      <w:r w:rsidR="00EC1A31" w:rsidRPr="00EC1A31">
        <w:rPr>
          <w:rFonts w:ascii="Arial" w:hAnsi="Arial" w:cs="Arial"/>
          <w:sz w:val="20"/>
          <w:szCs w:val="20"/>
          <w:vertAlign w:val="subscript"/>
        </w:rPr>
        <w:t>4</w:t>
      </w:r>
      <w:r w:rsidR="009B0D9C">
        <w:rPr>
          <w:rFonts w:ascii="Arial" w:hAnsi="Arial" w:cs="Arial"/>
          <w:sz w:val="20"/>
          <w:szCs w:val="20"/>
        </w:rPr>
        <w:t>]</w:t>
      </w:r>
      <w:r w:rsidR="00EC1A31">
        <w:rPr>
          <w:rFonts w:ascii="Arial" w:hAnsi="Arial" w:cs="Arial"/>
          <w:sz w:val="20"/>
          <w:szCs w:val="20"/>
        </w:rPr>
        <w:t>, –</w:t>
      </w:r>
      <w:r w:rsidR="005444F4">
        <w:rPr>
          <w:rFonts w:ascii="Arial" w:hAnsi="Arial" w:cs="Arial"/>
          <w:sz w:val="20"/>
          <w:szCs w:val="20"/>
        </w:rPr>
        <w:t>461</w:t>
      </w:r>
      <w:r w:rsidR="009B0D9C">
        <w:rPr>
          <w:rFonts w:ascii="Arial" w:hAnsi="Arial" w:cs="Arial"/>
          <w:sz w:val="20"/>
          <w:szCs w:val="20"/>
        </w:rPr>
        <w:t>.</w:t>
      </w:r>
      <w:r w:rsidR="005444F4">
        <w:rPr>
          <w:rFonts w:ascii="Arial" w:hAnsi="Arial" w:cs="Arial"/>
          <w:sz w:val="20"/>
          <w:szCs w:val="20"/>
        </w:rPr>
        <w:t xml:space="preserve"> </w:t>
      </w:r>
      <w:r w:rsidR="009B0D9C">
        <w:rPr>
          <w:rFonts w:ascii="Arial" w:hAnsi="Arial" w:cs="Arial"/>
          <w:sz w:val="20"/>
          <w:szCs w:val="20"/>
        </w:rPr>
        <w:t xml:space="preserve">The substantially lower value </w:t>
      </w:r>
      <w:r w:rsidR="005444F4">
        <w:rPr>
          <w:rFonts w:ascii="Arial" w:hAnsi="Arial" w:cs="Arial"/>
          <w:sz w:val="20"/>
          <w:szCs w:val="20"/>
        </w:rPr>
        <w:t>for K</w:t>
      </w:r>
      <w:r w:rsidR="009B0D9C">
        <w:rPr>
          <w:rFonts w:ascii="Arial" w:hAnsi="Arial" w:cs="Arial"/>
          <w:sz w:val="20"/>
          <w:szCs w:val="20"/>
        </w:rPr>
        <w:t>[</w:t>
      </w:r>
      <w:r w:rsidR="005444F4">
        <w:rPr>
          <w:rFonts w:ascii="Arial" w:hAnsi="Arial" w:cs="Arial"/>
          <w:sz w:val="20"/>
          <w:szCs w:val="20"/>
        </w:rPr>
        <w:t>BrO</w:t>
      </w:r>
      <w:r w:rsidR="005444F4" w:rsidRPr="00EC1A31">
        <w:rPr>
          <w:rFonts w:ascii="Arial" w:hAnsi="Arial" w:cs="Arial"/>
          <w:sz w:val="20"/>
          <w:szCs w:val="20"/>
          <w:vertAlign w:val="subscript"/>
        </w:rPr>
        <w:t>4</w:t>
      </w:r>
      <w:r w:rsidR="009B0D9C">
        <w:rPr>
          <w:rFonts w:ascii="Arial" w:hAnsi="Arial" w:cs="Arial"/>
          <w:sz w:val="20"/>
          <w:szCs w:val="20"/>
        </w:rPr>
        <w:t>]</w:t>
      </w:r>
      <w:r w:rsidR="005444F4">
        <w:rPr>
          <w:rFonts w:ascii="Arial" w:hAnsi="Arial" w:cs="Arial"/>
          <w:sz w:val="20"/>
          <w:szCs w:val="20"/>
        </w:rPr>
        <w:t xml:space="preserve"> </w:t>
      </w:r>
      <w:r w:rsidR="009B0D9C">
        <w:rPr>
          <w:rFonts w:ascii="Arial" w:hAnsi="Arial" w:cs="Arial"/>
          <w:sz w:val="20"/>
          <w:szCs w:val="20"/>
        </w:rPr>
        <w:t>compared to</w:t>
      </w:r>
      <w:r w:rsidR="005444F4">
        <w:rPr>
          <w:rFonts w:ascii="Arial" w:hAnsi="Arial" w:cs="Arial"/>
          <w:sz w:val="20"/>
          <w:szCs w:val="20"/>
        </w:rPr>
        <w:t xml:space="preserve"> potassium perchlorate and periodate</w:t>
      </w:r>
      <w:r w:rsidR="009B0D9C">
        <w:rPr>
          <w:rFonts w:ascii="Arial" w:hAnsi="Arial" w:cs="Arial"/>
          <w:sz w:val="20"/>
          <w:szCs w:val="20"/>
        </w:rPr>
        <w:t xml:space="preserve"> is notable</w:t>
      </w:r>
      <w:r w:rsidR="005444F4">
        <w:rPr>
          <w:rFonts w:ascii="Arial" w:hAnsi="Arial" w:cs="Arial"/>
          <w:sz w:val="20"/>
          <w:szCs w:val="20"/>
        </w:rPr>
        <w:t>.</w:t>
      </w:r>
    </w:p>
    <w:p w14:paraId="76493B23" w14:textId="05DC4633" w:rsidR="00B7787F" w:rsidRPr="00B7787F" w:rsidRDefault="00B7787F" w:rsidP="00EC1A31">
      <w:pPr>
        <w:autoSpaceDE w:val="0"/>
        <w:autoSpaceDN w:val="0"/>
        <w:adjustRightInd w:val="0"/>
        <w:spacing w:after="120"/>
        <w:jc w:val="both"/>
        <w:rPr>
          <w:rFonts w:ascii="Arial" w:hAnsi="Arial" w:cs="Arial"/>
          <w:b/>
          <w:bCs/>
          <w:i/>
          <w:iCs/>
          <w:sz w:val="20"/>
          <w:szCs w:val="20"/>
        </w:rPr>
      </w:pPr>
      <w:r w:rsidRPr="00B7787F">
        <w:rPr>
          <w:rFonts w:ascii="Arial" w:hAnsi="Arial" w:cs="Arial"/>
          <w:b/>
          <w:bCs/>
          <w:i/>
          <w:iCs/>
          <w:sz w:val="20"/>
          <w:szCs w:val="20"/>
        </w:rPr>
        <w:t>Conclusions</w:t>
      </w:r>
    </w:p>
    <w:p w14:paraId="22E48595" w14:textId="48962A81" w:rsidR="00AB4457" w:rsidRDefault="00BD46AB" w:rsidP="00EC1A31">
      <w:pPr>
        <w:autoSpaceDE w:val="0"/>
        <w:autoSpaceDN w:val="0"/>
        <w:adjustRightInd w:val="0"/>
        <w:spacing w:after="120"/>
        <w:jc w:val="both"/>
        <w:rPr>
          <w:rFonts w:ascii="Arial" w:hAnsi="Arial" w:cs="Arial"/>
          <w:sz w:val="20"/>
          <w:szCs w:val="20"/>
        </w:rPr>
      </w:pPr>
      <w:r>
        <w:rPr>
          <w:rFonts w:ascii="Arial" w:hAnsi="Arial" w:cs="Arial"/>
          <w:sz w:val="20"/>
          <w:szCs w:val="20"/>
        </w:rPr>
        <w:t>T</w:t>
      </w:r>
      <w:r w:rsidR="00AB4457">
        <w:rPr>
          <w:rFonts w:ascii="Arial" w:hAnsi="Arial" w:cs="Arial"/>
          <w:sz w:val="20"/>
          <w:szCs w:val="20"/>
        </w:rPr>
        <w:t xml:space="preserve">he examples and data presented above for a selection of halides, oxides and </w:t>
      </w:r>
      <w:proofErr w:type="spellStart"/>
      <w:r w:rsidR="00AB4457">
        <w:rPr>
          <w:rFonts w:ascii="Arial" w:hAnsi="Arial" w:cs="Arial"/>
          <w:sz w:val="20"/>
          <w:szCs w:val="20"/>
        </w:rPr>
        <w:t>oxoanions</w:t>
      </w:r>
      <w:proofErr w:type="spellEnd"/>
      <w:r w:rsidR="00AB4457">
        <w:rPr>
          <w:rFonts w:ascii="Arial" w:hAnsi="Arial" w:cs="Arial"/>
          <w:sz w:val="20"/>
          <w:szCs w:val="20"/>
        </w:rPr>
        <w:t xml:space="preserve"> of As(V), </w:t>
      </w:r>
      <w:proofErr w:type="gramStart"/>
      <w:r w:rsidR="00AB4457">
        <w:rPr>
          <w:rFonts w:ascii="Arial" w:hAnsi="Arial" w:cs="Arial"/>
          <w:sz w:val="20"/>
          <w:szCs w:val="20"/>
        </w:rPr>
        <w:t>Se(</w:t>
      </w:r>
      <w:proofErr w:type="gramEnd"/>
      <w:r w:rsidR="00AB4457">
        <w:rPr>
          <w:rFonts w:ascii="Arial" w:hAnsi="Arial" w:cs="Arial"/>
          <w:sz w:val="20"/>
          <w:szCs w:val="20"/>
        </w:rPr>
        <w:t xml:space="preserve">VI) and Br(VII) all reveal a thermodynamic instability inherent in these </w:t>
      </w:r>
      <w:r>
        <w:rPr>
          <w:rFonts w:ascii="Arial" w:hAnsi="Arial" w:cs="Arial"/>
          <w:sz w:val="20"/>
          <w:szCs w:val="20"/>
        </w:rPr>
        <w:t xml:space="preserve">particular </w:t>
      </w:r>
      <w:r w:rsidR="00AB4457">
        <w:rPr>
          <w:rFonts w:ascii="Arial" w:hAnsi="Arial" w:cs="Arial"/>
          <w:sz w:val="20"/>
          <w:szCs w:val="20"/>
        </w:rPr>
        <w:t xml:space="preserve">oxidation states. Compounds in oxidation states with a value of two less, i.e. </w:t>
      </w:r>
      <w:proofErr w:type="gramStart"/>
      <w:r w:rsidR="00AB4457">
        <w:rPr>
          <w:rFonts w:ascii="Arial" w:hAnsi="Arial" w:cs="Arial"/>
          <w:sz w:val="20"/>
          <w:szCs w:val="20"/>
        </w:rPr>
        <w:t>As(</w:t>
      </w:r>
      <w:proofErr w:type="gramEnd"/>
      <w:r w:rsidR="00AB4457">
        <w:rPr>
          <w:rFonts w:ascii="Arial" w:hAnsi="Arial" w:cs="Arial"/>
          <w:sz w:val="20"/>
          <w:szCs w:val="20"/>
        </w:rPr>
        <w:t xml:space="preserve">III), Se(IV) and Br(V), are much more common and more thermodynamically stable but although it might be tempting to do so, we should not describe this effect as an ‘inert pair effect’. This term is more properly associated with elements of the 6p row, </w:t>
      </w:r>
      <w:proofErr w:type="gramStart"/>
      <w:r w:rsidR="00AB4457">
        <w:rPr>
          <w:rFonts w:ascii="Arial" w:hAnsi="Arial" w:cs="Arial"/>
          <w:sz w:val="20"/>
          <w:szCs w:val="20"/>
        </w:rPr>
        <w:t>e.g.</w:t>
      </w:r>
      <w:proofErr w:type="gramEnd"/>
      <w:r w:rsidR="00AB4457">
        <w:rPr>
          <w:rFonts w:ascii="Arial" w:hAnsi="Arial" w:cs="Arial"/>
          <w:sz w:val="20"/>
          <w:szCs w:val="20"/>
        </w:rPr>
        <w:t xml:space="preserve"> Tl, Pb and Bi, as discussed in detail in Chapter 4 although we should recognise that the origins of the more stable lower oxidation states encountered in the chemistry of the 4p and 6p elements have much in common.</w:t>
      </w:r>
    </w:p>
    <w:p w14:paraId="759F4D29" w14:textId="718A5E92" w:rsidR="005851F7" w:rsidRPr="005444F4" w:rsidRDefault="00F46597" w:rsidP="00EC1A31">
      <w:pPr>
        <w:autoSpaceDE w:val="0"/>
        <w:autoSpaceDN w:val="0"/>
        <w:adjustRightInd w:val="0"/>
        <w:spacing w:after="120"/>
        <w:jc w:val="both"/>
        <w:rPr>
          <w:rFonts w:ascii="Arial" w:hAnsi="Arial" w:cs="Arial"/>
          <w:sz w:val="20"/>
          <w:szCs w:val="20"/>
        </w:rPr>
      </w:pPr>
      <w:r>
        <w:rPr>
          <w:rFonts w:ascii="Arial" w:hAnsi="Arial" w:cs="Arial"/>
          <w:sz w:val="20"/>
          <w:szCs w:val="20"/>
        </w:rPr>
        <w:t xml:space="preserve">Finally, as we noted on page 63 in Chapter 4, </w:t>
      </w:r>
      <w:r w:rsidR="005851F7">
        <w:rPr>
          <w:rFonts w:ascii="Arial" w:hAnsi="Arial" w:cs="Arial"/>
          <w:sz w:val="20"/>
          <w:szCs w:val="20"/>
        </w:rPr>
        <w:t>the feature of the 4p elements described here</w:t>
      </w:r>
      <w:r w:rsidR="00136DC0">
        <w:rPr>
          <w:rFonts w:ascii="Arial" w:hAnsi="Arial" w:cs="Arial"/>
          <w:sz w:val="20"/>
          <w:szCs w:val="20"/>
        </w:rPr>
        <w:t xml:space="preserve"> (</w:t>
      </w:r>
      <w:r w:rsidR="005851F7">
        <w:rPr>
          <w:rFonts w:ascii="Arial" w:hAnsi="Arial" w:cs="Arial"/>
          <w:sz w:val="20"/>
          <w:szCs w:val="20"/>
        </w:rPr>
        <w:t>in terms of the stability of certain oxidation states</w:t>
      </w:r>
      <w:r w:rsidR="00136DC0">
        <w:rPr>
          <w:rFonts w:ascii="Arial" w:hAnsi="Arial" w:cs="Arial"/>
          <w:sz w:val="20"/>
          <w:szCs w:val="20"/>
        </w:rPr>
        <w:t>)</w:t>
      </w:r>
      <w:r w:rsidR="005851F7">
        <w:rPr>
          <w:rFonts w:ascii="Arial" w:hAnsi="Arial" w:cs="Arial"/>
          <w:sz w:val="20"/>
          <w:szCs w:val="20"/>
        </w:rPr>
        <w:t xml:space="preserve"> along with the, somewhat similar, inert pair effect for the 6p elements is sometimes referred to as the alternation effect. Thus, in Group 15, for example, compounds of P(V) and Sb(V) are not especially oxidising whereas those of N(V), As(V) and Bi(V) certainly are. A question often asked is that whilst the effect of the poorly shielding 3d electrons on the 4p electrons is clear, is it not the case that a similar effect would be expected for the 5p elements</w:t>
      </w:r>
      <w:r w:rsidR="00136DC0">
        <w:rPr>
          <w:rFonts w:ascii="Arial" w:hAnsi="Arial" w:cs="Arial"/>
          <w:sz w:val="20"/>
          <w:szCs w:val="20"/>
        </w:rPr>
        <w:t xml:space="preserve"> as a consequence of the 4d electrons</w:t>
      </w:r>
      <w:r w:rsidR="005851F7">
        <w:rPr>
          <w:rFonts w:ascii="Arial" w:hAnsi="Arial" w:cs="Arial"/>
          <w:sz w:val="20"/>
          <w:szCs w:val="20"/>
        </w:rPr>
        <w:t xml:space="preserve">? The answer is yes, but as ionisation energies generally decrease down a group (see Figure 1), the effect is most marked for the 4p row. In the case of the 6p elements, these are now preceded by the first of the f-rows (4f) which accounts (in part) for the inert pair effect </w:t>
      </w:r>
      <w:r w:rsidR="00136DC0">
        <w:rPr>
          <w:rFonts w:ascii="Arial" w:hAnsi="Arial" w:cs="Arial"/>
          <w:sz w:val="20"/>
          <w:szCs w:val="20"/>
        </w:rPr>
        <w:t>(</w:t>
      </w:r>
      <w:r w:rsidR="005851F7">
        <w:rPr>
          <w:rFonts w:ascii="Arial" w:hAnsi="Arial" w:cs="Arial"/>
          <w:sz w:val="20"/>
          <w:szCs w:val="20"/>
        </w:rPr>
        <w:t>described in more detail in Chapter 4</w:t>
      </w:r>
      <w:r w:rsidR="00136DC0">
        <w:rPr>
          <w:rFonts w:ascii="Arial" w:hAnsi="Arial" w:cs="Arial"/>
          <w:sz w:val="20"/>
          <w:szCs w:val="20"/>
        </w:rPr>
        <w:t>) and it is on this basis that we can appreciate the origins of the alternation effect.</w:t>
      </w:r>
    </w:p>
    <w:p w14:paraId="72629769" w14:textId="13CEAF84" w:rsidR="00045186" w:rsidRPr="00D8229F" w:rsidRDefault="00B907F2" w:rsidP="009234E8">
      <w:pPr>
        <w:autoSpaceDE w:val="0"/>
        <w:autoSpaceDN w:val="0"/>
        <w:adjustRightInd w:val="0"/>
        <w:spacing w:after="120"/>
        <w:jc w:val="both"/>
        <w:rPr>
          <w:rFonts w:ascii="Arial" w:hAnsi="Arial" w:cs="Arial"/>
          <w:b/>
          <w:bCs/>
          <w:i/>
          <w:iCs/>
          <w:sz w:val="20"/>
          <w:szCs w:val="20"/>
        </w:rPr>
      </w:pPr>
      <w:r w:rsidRPr="00D8229F">
        <w:rPr>
          <w:rFonts w:ascii="Arial" w:hAnsi="Arial" w:cs="Arial"/>
          <w:b/>
          <w:bCs/>
          <w:i/>
          <w:iCs/>
          <w:sz w:val="20"/>
          <w:szCs w:val="20"/>
        </w:rPr>
        <w:t>References</w:t>
      </w:r>
    </w:p>
    <w:p w14:paraId="7B302474" w14:textId="7E2550B8" w:rsidR="00B907F2" w:rsidRDefault="009A52D5" w:rsidP="00744AB6">
      <w:pPr>
        <w:pStyle w:val="ListParagraph"/>
        <w:numPr>
          <w:ilvl w:val="0"/>
          <w:numId w:val="1"/>
        </w:numPr>
        <w:autoSpaceDE w:val="0"/>
        <w:autoSpaceDN w:val="0"/>
        <w:adjustRightInd w:val="0"/>
        <w:spacing w:after="120"/>
        <w:ind w:hanging="720"/>
        <w:jc w:val="both"/>
        <w:rPr>
          <w:rFonts w:ascii="Arial" w:hAnsi="Arial" w:cs="Arial"/>
          <w:sz w:val="20"/>
          <w:szCs w:val="20"/>
        </w:rPr>
      </w:pPr>
      <w:r w:rsidRPr="00744AB6">
        <w:rPr>
          <w:rFonts w:ascii="Arial" w:hAnsi="Arial" w:cs="Arial"/>
          <w:i/>
          <w:iCs/>
          <w:sz w:val="20"/>
          <w:szCs w:val="20"/>
        </w:rPr>
        <w:t>Non-Existent Compounds</w:t>
      </w:r>
      <w:r w:rsidRPr="00744AB6">
        <w:rPr>
          <w:rFonts w:ascii="Arial" w:hAnsi="Arial" w:cs="Arial"/>
          <w:sz w:val="20"/>
          <w:szCs w:val="20"/>
        </w:rPr>
        <w:t xml:space="preserve">, </w:t>
      </w:r>
      <w:proofErr w:type="spellStart"/>
      <w:r w:rsidR="00B907F2" w:rsidRPr="00744AB6">
        <w:rPr>
          <w:rFonts w:ascii="Arial" w:hAnsi="Arial" w:cs="Arial"/>
          <w:sz w:val="20"/>
          <w:szCs w:val="20"/>
        </w:rPr>
        <w:t>Dasent</w:t>
      </w:r>
      <w:proofErr w:type="spellEnd"/>
      <w:r w:rsidRPr="00744AB6">
        <w:rPr>
          <w:rFonts w:ascii="Arial" w:hAnsi="Arial" w:cs="Arial"/>
          <w:sz w:val="20"/>
          <w:szCs w:val="20"/>
        </w:rPr>
        <w:t xml:space="preserve">, W. E., </w:t>
      </w:r>
      <w:r w:rsidRPr="00744AB6">
        <w:rPr>
          <w:rFonts w:ascii="Arial" w:hAnsi="Arial" w:cs="Arial"/>
          <w:i/>
          <w:iCs/>
          <w:sz w:val="20"/>
          <w:szCs w:val="20"/>
        </w:rPr>
        <w:t>J. Chem. Ed</w:t>
      </w:r>
      <w:r w:rsidRPr="00744AB6">
        <w:rPr>
          <w:rFonts w:ascii="Arial" w:hAnsi="Arial" w:cs="Arial"/>
          <w:sz w:val="20"/>
          <w:szCs w:val="20"/>
        </w:rPr>
        <w:t>., 1963, 40, 130-134.</w:t>
      </w:r>
    </w:p>
    <w:p w14:paraId="7896ACA2" w14:textId="75A5E276" w:rsidR="00744AB6" w:rsidRPr="00D47866" w:rsidRDefault="00D47866" w:rsidP="00744AB6">
      <w:pPr>
        <w:pStyle w:val="ListParagraph"/>
        <w:numPr>
          <w:ilvl w:val="0"/>
          <w:numId w:val="1"/>
        </w:numPr>
        <w:autoSpaceDE w:val="0"/>
        <w:autoSpaceDN w:val="0"/>
        <w:adjustRightInd w:val="0"/>
        <w:spacing w:after="120"/>
        <w:ind w:hanging="720"/>
        <w:jc w:val="both"/>
        <w:rPr>
          <w:rFonts w:ascii="Arial" w:hAnsi="Arial" w:cs="Arial"/>
          <w:sz w:val="20"/>
          <w:szCs w:val="20"/>
        </w:rPr>
      </w:pPr>
      <w:r w:rsidRPr="00D47866">
        <w:rPr>
          <w:rFonts w:ascii="Arial" w:hAnsi="Arial" w:cs="Arial"/>
          <w:sz w:val="20"/>
          <w:szCs w:val="20"/>
        </w:rPr>
        <w:t xml:space="preserve">Emsley, J. (1989). </w:t>
      </w:r>
      <w:r w:rsidRPr="00D47866">
        <w:rPr>
          <w:rFonts w:ascii="Arial" w:hAnsi="Arial" w:cs="Arial"/>
          <w:i/>
          <w:iCs/>
          <w:sz w:val="20"/>
          <w:szCs w:val="20"/>
        </w:rPr>
        <w:t>The Elements</w:t>
      </w:r>
      <w:r w:rsidRPr="00D47866">
        <w:rPr>
          <w:rFonts w:ascii="Arial" w:hAnsi="Arial" w:cs="Arial"/>
          <w:sz w:val="20"/>
          <w:szCs w:val="20"/>
        </w:rPr>
        <w:t>, Oxford University Press.</w:t>
      </w:r>
    </w:p>
    <w:p w14:paraId="6A42B4C3" w14:textId="4C28E3C7" w:rsidR="00164B5B" w:rsidRPr="00744AB6" w:rsidRDefault="00164B5B" w:rsidP="00744AB6">
      <w:pPr>
        <w:pStyle w:val="ListParagraph"/>
        <w:numPr>
          <w:ilvl w:val="0"/>
          <w:numId w:val="1"/>
        </w:numPr>
        <w:autoSpaceDE w:val="0"/>
        <w:autoSpaceDN w:val="0"/>
        <w:adjustRightInd w:val="0"/>
        <w:spacing w:after="120"/>
        <w:ind w:hanging="720"/>
        <w:jc w:val="both"/>
        <w:rPr>
          <w:rFonts w:ascii="Arial" w:hAnsi="Arial" w:cs="Arial"/>
          <w:sz w:val="20"/>
          <w:szCs w:val="20"/>
        </w:rPr>
      </w:pPr>
      <w:r w:rsidRPr="00744AB6">
        <w:rPr>
          <w:rFonts w:ascii="Arial" w:hAnsi="Arial" w:cs="Arial"/>
          <w:sz w:val="20"/>
          <w:szCs w:val="20"/>
        </w:rPr>
        <w:t xml:space="preserve">Reduction potentials can vary slightly according to the source. The values quoted in Eqns. (1), (2) and (6)-(8) are taken from </w:t>
      </w:r>
      <w:proofErr w:type="spellStart"/>
      <w:r w:rsidR="00043AF6" w:rsidRPr="00744AB6">
        <w:rPr>
          <w:rFonts w:ascii="Arial" w:hAnsi="Arial" w:cs="Arial"/>
          <w:sz w:val="20"/>
          <w:szCs w:val="20"/>
        </w:rPr>
        <w:t>Miessler</w:t>
      </w:r>
      <w:proofErr w:type="spellEnd"/>
      <w:r w:rsidR="00043AF6" w:rsidRPr="00744AB6">
        <w:rPr>
          <w:rFonts w:ascii="Arial" w:hAnsi="Arial" w:cs="Arial"/>
          <w:sz w:val="20"/>
          <w:szCs w:val="20"/>
        </w:rPr>
        <w:t xml:space="preserve">, G. L., </w:t>
      </w:r>
      <w:proofErr w:type="spellStart"/>
      <w:r w:rsidR="00043AF6" w:rsidRPr="00744AB6">
        <w:rPr>
          <w:rFonts w:ascii="Arial" w:hAnsi="Arial" w:cs="Arial"/>
          <w:sz w:val="20"/>
          <w:szCs w:val="20"/>
        </w:rPr>
        <w:t>Tarr</w:t>
      </w:r>
      <w:proofErr w:type="spellEnd"/>
      <w:r w:rsidR="00043AF6" w:rsidRPr="00744AB6">
        <w:rPr>
          <w:rFonts w:ascii="Arial" w:hAnsi="Arial" w:cs="Arial"/>
          <w:sz w:val="20"/>
          <w:szCs w:val="20"/>
        </w:rPr>
        <w:t xml:space="preserve">, D. A. (2004). </w:t>
      </w:r>
      <w:r w:rsidR="00043AF6" w:rsidRPr="00744AB6">
        <w:rPr>
          <w:rFonts w:ascii="Arial" w:hAnsi="Arial" w:cs="Arial"/>
          <w:i/>
          <w:iCs/>
          <w:sz w:val="20"/>
          <w:szCs w:val="20"/>
        </w:rPr>
        <w:t>Inorganic Chemistry</w:t>
      </w:r>
      <w:r w:rsidR="00043AF6" w:rsidRPr="00744AB6">
        <w:rPr>
          <w:rFonts w:ascii="Arial" w:hAnsi="Arial" w:cs="Arial"/>
          <w:sz w:val="20"/>
          <w:szCs w:val="20"/>
        </w:rPr>
        <w:t xml:space="preserve"> (3</w:t>
      </w:r>
      <w:r w:rsidR="00043AF6" w:rsidRPr="00744AB6">
        <w:rPr>
          <w:rFonts w:ascii="Arial" w:hAnsi="Arial" w:cs="Arial"/>
          <w:sz w:val="20"/>
          <w:szCs w:val="20"/>
          <w:vertAlign w:val="superscript"/>
        </w:rPr>
        <w:t>rd</w:t>
      </w:r>
      <w:r w:rsidR="00043AF6" w:rsidRPr="00744AB6">
        <w:rPr>
          <w:rFonts w:ascii="Arial" w:hAnsi="Arial" w:cs="Arial"/>
          <w:sz w:val="20"/>
          <w:szCs w:val="20"/>
        </w:rPr>
        <w:t xml:space="preserve"> </w:t>
      </w:r>
      <w:proofErr w:type="spellStart"/>
      <w:r w:rsidR="00043AF6" w:rsidRPr="00744AB6">
        <w:rPr>
          <w:rFonts w:ascii="Arial" w:hAnsi="Arial" w:cs="Arial"/>
          <w:sz w:val="20"/>
          <w:szCs w:val="20"/>
        </w:rPr>
        <w:t>edn</w:t>
      </w:r>
      <w:proofErr w:type="spellEnd"/>
      <w:r w:rsidR="00043AF6" w:rsidRPr="00744AB6">
        <w:rPr>
          <w:rFonts w:ascii="Arial" w:hAnsi="Arial" w:cs="Arial"/>
          <w:sz w:val="20"/>
          <w:szCs w:val="20"/>
        </w:rPr>
        <w:t>), Pearson.</w:t>
      </w:r>
    </w:p>
    <w:sectPr w:rsidR="00164B5B" w:rsidRPr="00744AB6" w:rsidSect="00FC55F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F6479"/>
    <w:multiLevelType w:val="hybridMultilevel"/>
    <w:tmpl w:val="7B68D1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88"/>
    <w:rsid w:val="00043AF6"/>
    <w:rsid w:val="00045186"/>
    <w:rsid w:val="00050410"/>
    <w:rsid w:val="00063A35"/>
    <w:rsid w:val="00063C2A"/>
    <w:rsid w:val="00095FE4"/>
    <w:rsid w:val="000B61E1"/>
    <w:rsid w:val="000D4ED4"/>
    <w:rsid w:val="000D662A"/>
    <w:rsid w:val="000E434B"/>
    <w:rsid w:val="0011124C"/>
    <w:rsid w:val="00131D71"/>
    <w:rsid w:val="00136DC0"/>
    <w:rsid w:val="00161C86"/>
    <w:rsid w:val="00164B5B"/>
    <w:rsid w:val="001A5CD8"/>
    <w:rsid w:val="00200021"/>
    <w:rsid w:val="00207D5E"/>
    <w:rsid w:val="00254F06"/>
    <w:rsid w:val="0028221E"/>
    <w:rsid w:val="002C1288"/>
    <w:rsid w:val="002F1F38"/>
    <w:rsid w:val="002F25E0"/>
    <w:rsid w:val="00302418"/>
    <w:rsid w:val="0032203B"/>
    <w:rsid w:val="00353631"/>
    <w:rsid w:val="00353EFE"/>
    <w:rsid w:val="00367F5B"/>
    <w:rsid w:val="003927AC"/>
    <w:rsid w:val="003A14CF"/>
    <w:rsid w:val="003A2EFA"/>
    <w:rsid w:val="00411673"/>
    <w:rsid w:val="004656B2"/>
    <w:rsid w:val="00466115"/>
    <w:rsid w:val="004729C9"/>
    <w:rsid w:val="004D39D7"/>
    <w:rsid w:val="005444F4"/>
    <w:rsid w:val="005851F7"/>
    <w:rsid w:val="005A7DB4"/>
    <w:rsid w:val="006403A1"/>
    <w:rsid w:val="00642893"/>
    <w:rsid w:val="00665877"/>
    <w:rsid w:val="00667E5E"/>
    <w:rsid w:val="00676588"/>
    <w:rsid w:val="006901C9"/>
    <w:rsid w:val="006B213F"/>
    <w:rsid w:val="006F198A"/>
    <w:rsid w:val="006F7068"/>
    <w:rsid w:val="00700CB9"/>
    <w:rsid w:val="0072271E"/>
    <w:rsid w:val="00744AB6"/>
    <w:rsid w:val="007D1436"/>
    <w:rsid w:val="007E3519"/>
    <w:rsid w:val="007E58EC"/>
    <w:rsid w:val="00800A80"/>
    <w:rsid w:val="008229E4"/>
    <w:rsid w:val="00842BF9"/>
    <w:rsid w:val="00843458"/>
    <w:rsid w:val="00893842"/>
    <w:rsid w:val="00894E3D"/>
    <w:rsid w:val="00895727"/>
    <w:rsid w:val="008E1D58"/>
    <w:rsid w:val="00903C3F"/>
    <w:rsid w:val="009234E8"/>
    <w:rsid w:val="00934C43"/>
    <w:rsid w:val="00937945"/>
    <w:rsid w:val="00980C8C"/>
    <w:rsid w:val="009860D7"/>
    <w:rsid w:val="00991BD0"/>
    <w:rsid w:val="009A52D5"/>
    <w:rsid w:val="009B0D9C"/>
    <w:rsid w:val="009F0482"/>
    <w:rsid w:val="00A03D98"/>
    <w:rsid w:val="00A067FC"/>
    <w:rsid w:val="00A46EDE"/>
    <w:rsid w:val="00A560CC"/>
    <w:rsid w:val="00A90C0C"/>
    <w:rsid w:val="00AB4457"/>
    <w:rsid w:val="00AF6B4E"/>
    <w:rsid w:val="00B03006"/>
    <w:rsid w:val="00B11D88"/>
    <w:rsid w:val="00B417BD"/>
    <w:rsid w:val="00B533E3"/>
    <w:rsid w:val="00B558F8"/>
    <w:rsid w:val="00B67B5D"/>
    <w:rsid w:val="00B7787F"/>
    <w:rsid w:val="00B907F2"/>
    <w:rsid w:val="00BC5ACA"/>
    <w:rsid w:val="00BD46AB"/>
    <w:rsid w:val="00BE2D80"/>
    <w:rsid w:val="00C74482"/>
    <w:rsid w:val="00C84003"/>
    <w:rsid w:val="00CA2FC0"/>
    <w:rsid w:val="00CA609A"/>
    <w:rsid w:val="00CB0096"/>
    <w:rsid w:val="00CB3D68"/>
    <w:rsid w:val="00CF2FAB"/>
    <w:rsid w:val="00D47866"/>
    <w:rsid w:val="00D8162A"/>
    <w:rsid w:val="00D8229F"/>
    <w:rsid w:val="00D83886"/>
    <w:rsid w:val="00DA0201"/>
    <w:rsid w:val="00DA35FD"/>
    <w:rsid w:val="00DA5597"/>
    <w:rsid w:val="00DB3E94"/>
    <w:rsid w:val="00DE2D20"/>
    <w:rsid w:val="00DE4784"/>
    <w:rsid w:val="00E12488"/>
    <w:rsid w:val="00E176A9"/>
    <w:rsid w:val="00E3256B"/>
    <w:rsid w:val="00E5690C"/>
    <w:rsid w:val="00EC1A31"/>
    <w:rsid w:val="00ED1D50"/>
    <w:rsid w:val="00ED71CA"/>
    <w:rsid w:val="00EE20A8"/>
    <w:rsid w:val="00EF3EB5"/>
    <w:rsid w:val="00F03979"/>
    <w:rsid w:val="00F41F94"/>
    <w:rsid w:val="00F45EFC"/>
    <w:rsid w:val="00F460DD"/>
    <w:rsid w:val="00F46597"/>
    <w:rsid w:val="00F674E1"/>
    <w:rsid w:val="00FC55F0"/>
    <w:rsid w:val="00FF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E84F"/>
  <w15:chartTrackingRefBased/>
  <w15:docId w15:val="{784D9012-0E87-B347-9C4D-C8F9ABF0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D7"/>
    <w:rPr>
      <w:color w:val="0563C1" w:themeColor="hyperlink"/>
      <w:u w:val="single"/>
    </w:rPr>
  </w:style>
  <w:style w:type="character" w:styleId="UnresolvedMention">
    <w:name w:val="Unresolved Mention"/>
    <w:basedOn w:val="DefaultParagraphFont"/>
    <w:uiPriority w:val="99"/>
    <w:semiHidden/>
    <w:unhideWhenUsed/>
    <w:rsid w:val="004D39D7"/>
    <w:rPr>
      <w:color w:val="605E5C"/>
      <w:shd w:val="clear" w:color="auto" w:fill="E1DFDD"/>
    </w:rPr>
  </w:style>
  <w:style w:type="character" w:customStyle="1" w:styleId="apple-converted-space">
    <w:name w:val="apple-converted-space"/>
    <w:basedOn w:val="DefaultParagraphFont"/>
    <w:rsid w:val="00903C3F"/>
  </w:style>
  <w:style w:type="paragraph" w:styleId="NormalWeb">
    <w:name w:val="Normal (Web)"/>
    <w:basedOn w:val="Normal"/>
    <w:uiPriority w:val="99"/>
    <w:semiHidden/>
    <w:unhideWhenUsed/>
    <w:rsid w:val="00CA2FC0"/>
    <w:pPr>
      <w:spacing w:before="100" w:beforeAutospacing="1" w:after="100" w:afterAutospacing="1"/>
    </w:pPr>
    <w:rPr>
      <w:rFonts w:ascii="Times New Roman" w:eastAsia="Times New Roman" w:hAnsi="Times New Roman" w:cs="Times New Roman"/>
      <w:lang w:eastAsia="en-GB"/>
    </w:rPr>
  </w:style>
  <w:style w:type="paragraph" w:customStyle="1" w:styleId="FGC">
    <w:name w:val="FGC"/>
    <w:basedOn w:val="Normal"/>
    <w:autoRedefine/>
    <w:rsid w:val="00E12488"/>
    <w:pPr>
      <w:spacing w:before="120" w:after="60" w:line="480" w:lineRule="auto"/>
    </w:pPr>
    <w:rPr>
      <w:rFonts w:ascii="Times New Roman" w:eastAsia="Times New Roman" w:hAnsi="Times New Roman" w:cs="Times New Roman"/>
      <w:lang w:val="en-US"/>
    </w:rPr>
  </w:style>
  <w:style w:type="paragraph" w:customStyle="1" w:styleId="FGN">
    <w:name w:val="FGN"/>
    <w:basedOn w:val="Normal"/>
    <w:link w:val="FGNChar"/>
    <w:autoRedefine/>
    <w:qFormat/>
    <w:rsid w:val="00E12488"/>
    <w:pPr>
      <w:spacing w:before="120" w:after="60" w:line="480" w:lineRule="auto"/>
    </w:pPr>
    <w:rPr>
      <w:rFonts w:ascii="Times New Roman" w:eastAsia="Times New Roman" w:hAnsi="Times New Roman" w:cs="Times New Roman"/>
      <w:lang w:val="en-US"/>
    </w:rPr>
  </w:style>
  <w:style w:type="character" w:customStyle="1" w:styleId="FGNChar">
    <w:name w:val="FGN Char"/>
    <w:link w:val="FGN"/>
    <w:rsid w:val="00E12488"/>
    <w:rPr>
      <w:rFonts w:ascii="Times New Roman" w:eastAsia="Times New Roman" w:hAnsi="Times New Roman" w:cs="Times New Roman"/>
      <w:lang w:val="en-US"/>
    </w:rPr>
  </w:style>
  <w:style w:type="paragraph" w:customStyle="1" w:styleId="FT2Close">
    <w:name w:val="FT2 Close"/>
    <w:link w:val="FT2CloseChar"/>
    <w:rsid w:val="00E12488"/>
    <w:pPr>
      <w:pBdr>
        <w:bottom w:val="single" w:sz="24" w:space="1" w:color="008000"/>
      </w:pBdr>
      <w:shd w:val="clear" w:color="auto" w:fill="E6E6E6"/>
    </w:pPr>
    <w:rPr>
      <w:rFonts w:ascii="Times New Roman" w:eastAsia="Times New Roman" w:hAnsi="Times New Roman" w:cs="Times New Roman"/>
      <w:lang w:val="en-US"/>
    </w:rPr>
  </w:style>
  <w:style w:type="character" w:customStyle="1" w:styleId="FT2CloseChar">
    <w:name w:val="FT2 Close Char"/>
    <w:link w:val="FT2Close"/>
    <w:rsid w:val="00E12488"/>
    <w:rPr>
      <w:rFonts w:ascii="Times New Roman" w:eastAsia="Times New Roman" w:hAnsi="Times New Roman" w:cs="Times New Roman"/>
      <w:shd w:val="clear" w:color="auto" w:fill="E6E6E6"/>
      <w:lang w:val="en-US"/>
    </w:rPr>
  </w:style>
  <w:style w:type="paragraph" w:customStyle="1" w:styleId="FT2Open">
    <w:name w:val="FT2 Open"/>
    <w:rsid w:val="00E12488"/>
    <w:pPr>
      <w:pBdr>
        <w:top w:val="single" w:sz="24" w:space="1" w:color="008000"/>
      </w:pBdr>
      <w:shd w:val="clear" w:color="auto" w:fill="E6E6E6"/>
    </w:pPr>
    <w:rPr>
      <w:rFonts w:ascii="Times New Roman" w:eastAsia="Times New Roman" w:hAnsi="Times New Roman" w:cs="Times New Roman"/>
      <w:lang w:val="en-US"/>
    </w:rPr>
  </w:style>
  <w:style w:type="paragraph" w:customStyle="1" w:styleId="paragraph">
    <w:name w:val="paragraph"/>
    <w:basedOn w:val="Normal"/>
    <w:rsid w:val="00254F0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4F06"/>
  </w:style>
  <w:style w:type="character" w:customStyle="1" w:styleId="eop">
    <w:name w:val="eop"/>
    <w:basedOn w:val="DefaultParagraphFont"/>
    <w:rsid w:val="00254F06"/>
  </w:style>
  <w:style w:type="table" w:styleId="TableGrid">
    <w:name w:val="Table Grid"/>
    <w:basedOn w:val="TableNormal"/>
    <w:uiPriority w:val="39"/>
    <w:rsid w:val="00D82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3018">
      <w:bodyDiv w:val="1"/>
      <w:marLeft w:val="0"/>
      <w:marRight w:val="0"/>
      <w:marTop w:val="0"/>
      <w:marBottom w:val="0"/>
      <w:divBdr>
        <w:top w:val="none" w:sz="0" w:space="0" w:color="auto"/>
        <w:left w:val="none" w:sz="0" w:space="0" w:color="auto"/>
        <w:bottom w:val="none" w:sz="0" w:space="0" w:color="auto"/>
        <w:right w:val="none" w:sz="0" w:space="0" w:color="auto"/>
      </w:divBdr>
    </w:div>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1394236278">
      <w:bodyDiv w:val="1"/>
      <w:marLeft w:val="0"/>
      <w:marRight w:val="0"/>
      <w:marTop w:val="0"/>
      <w:marBottom w:val="0"/>
      <w:divBdr>
        <w:top w:val="none" w:sz="0" w:space="0" w:color="auto"/>
        <w:left w:val="none" w:sz="0" w:space="0" w:color="auto"/>
        <w:bottom w:val="none" w:sz="0" w:space="0" w:color="auto"/>
        <w:right w:val="none" w:sz="0" w:space="0" w:color="auto"/>
      </w:divBdr>
    </w:div>
    <w:div w:id="1516185043">
      <w:bodyDiv w:val="1"/>
      <w:marLeft w:val="0"/>
      <w:marRight w:val="0"/>
      <w:marTop w:val="0"/>
      <w:marBottom w:val="0"/>
      <w:divBdr>
        <w:top w:val="none" w:sz="0" w:space="0" w:color="auto"/>
        <w:left w:val="none" w:sz="0" w:space="0" w:color="auto"/>
        <w:bottom w:val="none" w:sz="0" w:space="0" w:color="auto"/>
        <w:right w:val="none" w:sz="0" w:space="0" w:color="auto"/>
      </w:divBdr>
      <w:divsChild>
        <w:div w:id="961234003">
          <w:marLeft w:val="0"/>
          <w:marRight w:val="0"/>
          <w:marTop w:val="0"/>
          <w:marBottom w:val="0"/>
          <w:divBdr>
            <w:top w:val="none" w:sz="0" w:space="0" w:color="auto"/>
            <w:left w:val="none" w:sz="0" w:space="0" w:color="auto"/>
            <w:bottom w:val="none" w:sz="0" w:space="0" w:color="auto"/>
            <w:right w:val="none" w:sz="0" w:space="0" w:color="auto"/>
          </w:divBdr>
        </w:div>
        <w:div w:id="787696036">
          <w:marLeft w:val="0"/>
          <w:marRight w:val="0"/>
          <w:marTop w:val="0"/>
          <w:marBottom w:val="0"/>
          <w:divBdr>
            <w:top w:val="none" w:sz="0" w:space="0" w:color="auto"/>
            <w:left w:val="none" w:sz="0" w:space="0" w:color="auto"/>
            <w:bottom w:val="none" w:sz="0" w:space="0" w:color="auto"/>
            <w:right w:val="none" w:sz="0" w:space="0" w:color="auto"/>
          </w:divBdr>
        </w:div>
        <w:div w:id="921110680">
          <w:marLeft w:val="0"/>
          <w:marRight w:val="0"/>
          <w:marTop w:val="0"/>
          <w:marBottom w:val="0"/>
          <w:divBdr>
            <w:top w:val="none" w:sz="0" w:space="0" w:color="auto"/>
            <w:left w:val="none" w:sz="0" w:space="0" w:color="auto"/>
            <w:bottom w:val="none" w:sz="0" w:space="0" w:color="auto"/>
            <w:right w:val="none" w:sz="0" w:space="0" w:color="auto"/>
          </w:divBdr>
        </w:div>
        <w:div w:id="1243490813">
          <w:marLeft w:val="0"/>
          <w:marRight w:val="0"/>
          <w:marTop w:val="0"/>
          <w:marBottom w:val="0"/>
          <w:divBdr>
            <w:top w:val="none" w:sz="0" w:space="0" w:color="auto"/>
            <w:left w:val="none" w:sz="0" w:space="0" w:color="auto"/>
            <w:bottom w:val="none" w:sz="0" w:space="0" w:color="auto"/>
            <w:right w:val="none" w:sz="0" w:space="0" w:color="auto"/>
          </w:divBdr>
        </w:div>
        <w:div w:id="1523740437">
          <w:marLeft w:val="0"/>
          <w:marRight w:val="0"/>
          <w:marTop w:val="0"/>
          <w:marBottom w:val="0"/>
          <w:divBdr>
            <w:top w:val="none" w:sz="0" w:space="0" w:color="auto"/>
            <w:left w:val="none" w:sz="0" w:space="0" w:color="auto"/>
            <w:bottom w:val="none" w:sz="0" w:space="0" w:color="auto"/>
            <w:right w:val="none" w:sz="0" w:space="0" w:color="auto"/>
          </w:divBdr>
        </w:div>
        <w:div w:id="454175918">
          <w:marLeft w:val="0"/>
          <w:marRight w:val="0"/>
          <w:marTop w:val="0"/>
          <w:marBottom w:val="0"/>
          <w:divBdr>
            <w:top w:val="none" w:sz="0" w:space="0" w:color="auto"/>
            <w:left w:val="none" w:sz="0" w:space="0" w:color="auto"/>
            <w:bottom w:val="none" w:sz="0" w:space="0" w:color="auto"/>
            <w:right w:val="none" w:sz="0" w:space="0" w:color="auto"/>
          </w:divBdr>
        </w:div>
        <w:div w:id="423381703">
          <w:marLeft w:val="0"/>
          <w:marRight w:val="0"/>
          <w:marTop w:val="0"/>
          <w:marBottom w:val="0"/>
          <w:divBdr>
            <w:top w:val="none" w:sz="0" w:space="0" w:color="auto"/>
            <w:left w:val="none" w:sz="0" w:space="0" w:color="auto"/>
            <w:bottom w:val="none" w:sz="0" w:space="0" w:color="auto"/>
            <w:right w:val="none" w:sz="0" w:space="0" w:color="auto"/>
          </w:divBdr>
        </w:div>
        <w:div w:id="1524124941">
          <w:marLeft w:val="0"/>
          <w:marRight w:val="0"/>
          <w:marTop w:val="0"/>
          <w:marBottom w:val="0"/>
          <w:divBdr>
            <w:top w:val="none" w:sz="0" w:space="0" w:color="auto"/>
            <w:left w:val="none" w:sz="0" w:space="0" w:color="auto"/>
            <w:bottom w:val="none" w:sz="0" w:space="0" w:color="auto"/>
            <w:right w:val="none" w:sz="0" w:space="0" w:color="auto"/>
          </w:divBdr>
        </w:div>
        <w:div w:id="48723595">
          <w:marLeft w:val="0"/>
          <w:marRight w:val="0"/>
          <w:marTop w:val="0"/>
          <w:marBottom w:val="0"/>
          <w:divBdr>
            <w:top w:val="none" w:sz="0" w:space="0" w:color="auto"/>
            <w:left w:val="none" w:sz="0" w:space="0" w:color="auto"/>
            <w:bottom w:val="none" w:sz="0" w:space="0" w:color="auto"/>
            <w:right w:val="none" w:sz="0" w:space="0" w:color="auto"/>
          </w:divBdr>
        </w:div>
        <w:div w:id="1808350759">
          <w:marLeft w:val="0"/>
          <w:marRight w:val="0"/>
          <w:marTop w:val="0"/>
          <w:marBottom w:val="0"/>
          <w:divBdr>
            <w:top w:val="none" w:sz="0" w:space="0" w:color="auto"/>
            <w:left w:val="none" w:sz="0" w:space="0" w:color="auto"/>
            <w:bottom w:val="none" w:sz="0" w:space="0" w:color="auto"/>
            <w:right w:val="none" w:sz="0" w:space="0" w:color="auto"/>
          </w:divBdr>
        </w:div>
        <w:div w:id="1859852916">
          <w:marLeft w:val="0"/>
          <w:marRight w:val="0"/>
          <w:marTop w:val="0"/>
          <w:marBottom w:val="0"/>
          <w:divBdr>
            <w:top w:val="none" w:sz="0" w:space="0" w:color="auto"/>
            <w:left w:val="none" w:sz="0" w:space="0" w:color="auto"/>
            <w:bottom w:val="none" w:sz="0" w:space="0" w:color="auto"/>
            <w:right w:val="none" w:sz="0" w:space="0" w:color="auto"/>
          </w:divBdr>
        </w:div>
        <w:div w:id="1811361741">
          <w:marLeft w:val="0"/>
          <w:marRight w:val="0"/>
          <w:marTop w:val="0"/>
          <w:marBottom w:val="0"/>
          <w:divBdr>
            <w:top w:val="none" w:sz="0" w:space="0" w:color="auto"/>
            <w:left w:val="none" w:sz="0" w:space="0" w:color="auto"/>
            <w:bottom w:val="none" w:sz="0" w:space="0" w:color="auto"/>
            <w:right w:val="none" w:sz="0" w:space="0" w:color="auto"/>
          </w:divBdr>
        </w:div>
        <w:div w:id="1420520478">
          <w:marLeft w:val="0"/>
          <w:marRight w:val="0"/>
          <w:marTop w:val="0"/>
          <w:marBottom w:val="0"/>
          <w:divBdr>
            <w:top w:val="none" w:sz="0" w:space="0" w:color="auto"/>
            <w:left w:val="none" w:sz="0" w:space="0" w:color="auto"/>
            <w:bottom w:val="none" w:sz="0" w:space="0" w:color="auto"/>
            <w:right w:val="none" w:sz="0" w:space="0" w:color="auto"/>
          </w:divBdr>
        </w:div>
      </w:divsChild>
    </w:div>
    <w:div w:id="1595437719">
      <w:bodyDiv w:val="1"/>
      <w:marLeft w:val="0"/>
      <w:marRight w:val="0"/>
      <w:marTop w:val="0"/>
      <w:marBottom w:val="0"/>
      <w:divBdr>
        <w:top w:val="none" w:sz="0" w:space="0" w:color="auto"/>
        <w:left w:val="none" w:sz="0" w:space="0" w:color="auto"/>
        <w:bottom w:val="none" w:sz="0" w:space="0" w:color="auto"/>
        <w:right w:val="none" w:sz="0" w:space="0" w:color="auto"/>
      </w:divBdr>
    </w:div>
    <w:div w:id="1777865743">
      <w:bodyDiv w:val="1"/>
      <w:marLeft w:val="0"/>
      <w:marRight w:val="0"/>
      <w:marTop w:val="0"/>
      <w:marBottom w:val="0"/>
      <w:divBdr>
        <w:top w:val="none" w:sz="0" w:space="0" w:color="auto"/>
        <w:left w:val="none" w:sz="0" w:space="0" w:color="auto"/>
        <w:bottom w:val="none" w:sz="0" w:space="0" w:color="auto"/>
        <w:right w:val="none" w:sz="0" w:space="0" w:color="auto"/>
      </w:divBdr>
      <w:divsChild>
        <w:div w:id="1657761610">
          <w:marLeft w:val="0"/>
          <w:marRight w:val="0"/>
          <w:marTop w:val="0"/>
          <w:marBottom w:val="0"/>
          <w:divBdr>
            <w:top w:val="none" w:sz="0" w:space="0" w:color="auto"/>
            <w:left w:val="none" w:sz="0" w:space="0" w:color="auto"/>
            <w:bottom w:val="none" w:sz="0" w:space="0" w:color="auto"/>
            <w:right w:val="none" w:sz="0" w:space="0" w:color="auto"/>
          </w:divBdr>
        </w:div>
        <w:div w:id="83887557">
          <w:marLeft w:val="0"/>
          <w:marRight w:val="0"/>
          <w:marTop w:val="0"/>
          <w:marBottom w:val="0"/>
          <w:divBdr>
            <w:top w:val="none" w:sz="0" w:space="0" w:color="auto"/>
            <w:left w:val="none" w:sz="0" w:space="0" w:color="auto"/>
            <w:bottom w:val="none" w:sz="0" w:space="0" w:color="auto"/>
            <w:right w:val="none" w:sz="0" w:space="0" w:color="auto"/>
          </w:divBdr>
        </w:div>
        <w:div w:id="181871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122</cp:revision>
  <dcterms:created xsi:type="dcterms:W3CDTF">2019-09-29T14:20:00Z</dcterms:created>
  <dcterms:modified xsi:type="dcterms:W3CDTF">2021-01-19T14:23:00Z</dcterms:modified>
</cp:coreProperties>
</file>