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0A24EC" w:rsidRDefault="00101523" w:rsidP="00101523">
      <w:pPr>
        <w:jc w:val="center"/>
        <w:rPr>
          <w:rFonts w:ascii="Palatino Linotype" w:hAnsi="Palatino Linotype" w:cs="Calibri"/>
          <w:sz w:val="20"/>
          <w:szCs w:val="20"/>
        </w:rPr>
      </w:pPr>
      <w:r w:rsidRPr="000A24EC">
        <w:rPr>
          <w:rFonts w:ascii="Palatino Linotype" w:hAnsi="Palatino Linotype" w:cs="Calibri"/>
          <w:sz w:val="20"/>
          <w:szCs w:val="20"/>
        </w:rPr>
        <w:t>AMERICAN CONSTITUTIONALISM</w:t>
      </w:r>
    </w:p>
    <w:p w14:paraId="77978E4C" w14:textId="204628A1" w:rsidR="00101523" w:rsidRPr="000A24EC" w:rsidRDefault="00101523" w:rsidP="00101523">
      <w:pPr>
        <w:jc w:val="center"/>
        <w:rPr>
          <w:rFonts w:ascii="Palatino Linotype" w:hAnsi="Palatino Linotype" w:cs="Calibri"/>
          <w:sz w:val="20"/>
          <w:szCs w:val="20"/>
        </w:rPr>
      </w:pPr>
      <w:r w:rsidRPr="000A24EC">
        <w:rPr>
          <w:rFonts w:ascii="Palatino Linotype" w:hAnsi="Palatino Linotype" w:cs="Calibri"/>
          <w:sz w:val="20"/>
          <w:szCs w:val="20"/>
        </w:rPr>
        <w:t xml:space="preserve">VOLUME </w:t>
      </w:r>
      <w:r w:rsidR="00393A7B" w:rsidRPr="000A24EC">
        <w:rPr>
          <w:rFonts w:ascii="Palatino Linotype" w:hAnsi="Palatino Linotype" w:cs="Calibri"/>
          <w:sz w:val="20"/>
          <w:szCs w:val="20"/>
        </w:rPr>
        <w:t>I</w:t>
      </w:r>
      <w:r w:rsidRPr="000A24EC">
        <w:rPr>
          <w:rFonts w:ascii="Palatino Linotype" w:hAnsi="Palatino Linotype" w:cs="Calibri"/>
          <w:sz w:val="20"/>
          <w:szCs w:val="20"/>
        </w:rPr>
        <w:t xml:space="preserve">:  </w:t>
      </w:r>
      <w:r w:rsidR="00B155B1" w:rsidRPr="000A24EC">
        <w:rPr>
          <w:rFonts w:ascii="Palatino Linotype" w:hAnsi="Palatino Linotype" w:cs="Calibri"/>
          <w:sz w:val="20"/>
          <w:szCs w:val="20"/>
        </w:rPr>
        <w:t>STRUCTURES AND POWERS</w:t>
      </w:r>
    </w:p>
    <w:p w14:paraId="0C3AF76B" w14:textId="77777777" w:rsidR="00101523" w:rsidRPr="000A24EC" w:rsidRDefault="00101523" w:rsidP="00101523">
      <w:pPr>
        <w:jc w:val="center"/>
        <w:rPr>
          <w:rFonts w:ascii="Palatino Linotype" w:hAnsi="Palatino Linotype" w:cs="Calibri"/>
          <w:sz w:val="20"/>
          <w:szCs w:val="20"/>
        </w:rPr>
      </w:pPr>
      <w:r w:rsidRPr="000A24EC">
        <w:rPr>
          <w:rFonts w:ascii="Palatino Linotype" w:hAnsi="Palatino Linotype" w:cs="Calibri"/>
          <w:sz w:val="20"/>
          <w:szCs w:val="20"/>
        </w:rPr>
        <w:t>Howard Gillman • Mark A. Graber • Keith E. Whittington</w:t>
      </w:r>
    </w:p>
    <w:p w14:paraId="4D327672" w14:textId="77777777" w:rsidR="00101523" w:rsidRPr="000A24EC" w:rsidRDefault="00101523" w:rsidP="00101523">
      <w:pPr>
        <w:jc w:val="center"/>
        <w:rPr>
          <w:rFonts w:ascii="Palatino Linotype" w:hAnsi="Palatino Linotype" w:cs="Calibri"/>
          <w:sz w:val="20"/>
          <w:szCs w:val="20"/>
        </w:rPr>
      </w:pPr>
    </w:p>
    <w:p w14:paraId="23F6E48F" w14:textId="77777777" w:rsidR="00101523" w:rsidRPr="000A24EC" w:rsidRDefault="00101523" w:rsidP="00101523">
      <w:pPr>
        <w:jc w:val="center"/>
        <w:rPr>
          <w:rFonts w:ascii="Palatino Linotype" w:hAnsi="Palatino Linotype" w:cs="Calibri"/>
          <w:sz w:val="20"/>
          <w:szCs w:val="20"/>
        </w:rPr>
      </w:pPr>
      <w:r w:rsidRPr="000A24EC">
        <w:rPr>
          <w:rFonts w:ascii="Palatino Linotype" w:hAnsi="Palatino Linotype" w:cs="Calibri"/>
          <w:sz w:val="20"/>
          <w:szCs w:val="20"/>
        </w:rPr>
        <w:t>Supplementary Material</w:t>
      </w:r>
    </w:p>
    <w:p w14:paraId="51AB0010" w14:textId="77777777" w:rsidR="00101523" w:rsidRPr="000A24EC" w:rsidRDefault="00101523" w:rsidP="00101523">
      <w:pPr>
        <w:jc w:val="center"/>
        <w:rPr>
          <w:rFonts w:ascii="Palatino Linotype" w:hAnsi="Palatino Linotype" w:cs="Calibri"/>
          <w:sz w:val="20"/>
          <w:szCs w:val="20"/>
        </w:rPr>
      </w:pPr>
    </w:p>
    <w:p w14:paraId="282E55E8" w14:textId="1B4D89FE" w:rsidR="00101523" w:rsidRPr="000A24EC" w:rsidRDefault="00EE2339" w:rsidP="00101523">
      <w:pPr>
        <w:jc w:val="center"/>
        <w:rPr>
          <w:rFonts w:ascii="Palatino Linotype" w:hAnsi="Palatino Linotype" w:cs="Calibri"/>
          <w:sz w:val="20"/>
          <w:szCs w:val="20"/>
        </w:rPr>
      </w:pPr>
      <w:r w:rsidRPr="000A24EC">
        <w:rPr>
          <w:rFonts w:ascii="Palatino Linotype" w:hAnsi="Palatino Linotype" w:cs="Calibri"/>
          <w:sz w:val="20"/>
          <w:szCs w:val="20"/>
        </w:rPr>
        <w:t xml:space="preserve">Chapter </w:t>
      </w:r>
      <w:r w:rsidR="00B155B1" w:rsidRPr="000A24EC">
        <w:rPr>
          <w:rFonts w:ascii="Palatino Linotype" w:hAnsi="Palatino Linotype" w:cs="Calibri"/>
          <w:sz w:val="20"/>
          <w:szCs w:val="20"/>
        </w:rPr>
        <w:t>12</w:t>
      </w:r>
      <w:r w:rsidR="00101523" w:rsidRPr="000A24EC">
        <w:rPr>
          <w:rFonts w:ascii="Palatino Linotype" w:hAnsi="Palatino Linotype" w:cs="Calibri"/>
          <w:sz w:val="20"/>
          <w:szCs w:val="20"/>
        </w:rPr>
        <w:t xml:space="preserve">:  </w:t>
      </w:r>
      <w:r w:rsidR="00F53FD4" w:rsidRPr="000A24EC">
        <w:rPr>
          <w:rFonts w:ascii="Palatino Linotype" w:hAnsi="Palatino Linotype" w:cs="Calibri"/>
          <w:sz w:val="20"/>
          <w:szCs w:val="20"/>
        </w:rPr>
        <w:t xml:space="preserve">The </w:t>
      </w:r>
      <w:r w:rsidR="00B155B1" w:rsidRPr="000A24EC">
        <w:rPr>
          <w:rFonts w:ascii="Palatino Linotype" w:hAnsi="Palatino Linotype" w:cs="Calibri"/>
          <w:sz w:val="20"/>
          <w:szCs w:val="20"/>
        </w:rPr>
        <w:t xml:space="preserve">Contemporary </w:t>
      </w:r>
      <w:r w:rsidR="00F53FD4" w:rsidRPr="000A24EC">
        <w:rPr>
          <w:rFonts w:ascii="Palatino Linotype" w:hAnsi="Palatino Linotype" w:cs="Calibri"/>
          <w:sz w:val="20"/>
          <w:szCs w:val="20"/>
        </w:rPr>
        <w:t>Era</w:t>
      </w:r>
      <w:r w:rsidR="00101523" w:rsidRPr="000A24EC">
        <w:rPr>
          <w:rFonts w:ascii="Palatino Linotype" w:hAnsi="Palatino Linotype" w:cs="Calibri"/>
          <w:sz w:val="20"/>
          <w:szCs w:val="20"/>
        </w:rPr>
        <w:t xml:space="preserve"> – </w:t>
      </w:r>
      <w:r w:rsidR="00D50554" w:rsidRPr="000A24EC">
        <w:rPr>
          <w:rFonts w:ascii="Palatino Linotype" w:hAnsi="Palatino Linotype" w:cs="Calibri"/>
          <w:sz w:val="20"/>
          <w:szCs w:val="20"/>
        </w:rPr>
        <w:t xml:space="preserve">Separation of Powers/ </w:t>
      </w:r>
      <w:r w:rsidR="005B0C8B" w:rsidRPr="000A24EC">
        <w:rPr>
          <w:rFonts w:ascii="Palatino Linotype" w:hAnsi="Palatino Linotype" w:cs="Calibri"/>
          <w:sz w:val="20"/>
          <w:szCs w:val="20"/>
        </w:rPr>
        <w:t>Elections and Political Parties</w:t>
      </w:r>
    </w:p>
    <w:p w14:paraId="14A274EF" w14:textId="77777777" w:rsidR="00101523" w:rsidRPr="000A24EC" w:rsidRDefault="00101523" w:rsidP="00101523">
      <w:pPr>
        <w:jc w:val="center"/>
        <w:rPr>
          <w:rFonts w:ascii="Palatino Linotype" w:hAnsi="Palatino Linotype" w:cs="Calibri"/>
          <w:sz w:val="20"/>
          <w:szCs w:val="20"/>
        </w:rPr>
      </w:pPr>
    </w:p>
    <w:p w14:paraId="376CAB86" w14:textId="77777777" w:rsidR="00101523" w:rsidRPr="000A24EC" w:rsidRDefault="00101523" w:rsidP="00101523">
      <w:pPr>
        <w:jc w:val="both"/>
        <w:rPr>
          <w:rFonts w:ascii="Palatino Linotype" w:hAnsi="Palatino Linotype" w:cs="Calibri"/>
          <w:sz w:val="20"/>
          <w:szCs w:val="20"/>
        </w:rPr>
      </w:pPr>
    </w:p>
    <w:p w14:paraId="5EFCFE15" w14:textId="77777777" w:rsidR="000E2F1A" w:rsidRPr="000A24EC" w:rsidRDefault="00000000">
      <w:pPr>
        <w:rPr>
          <w:rFonts w:ascii="Palatino Linotype" w:hAnsi="Palatino Linotype" w:cs="Calibri"/>
          <w:sz w:val="20"/>
          <w:szCs w:val="20"/>
        </w:rPr>
      </w:pPr>
      <w:r w:rsidRPr="000A24EC">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0DF6163E" w:rsidR="00BE396A" w:rsidRPr="000A24EC" w:rsidRDefault="00B63D94" w:rsidP="000E2F1A">
      <w:pPr>
        <w:jc w:val="center"/>
        <w:rPr>
          <w:rFonts w:ascii="Palatino Linotype" w:hAnsi="Palatino Linotype" w:cs="Calibri"/>
          <w:sz w:val="20"/>
          <w:szCs w:val="20"/>
        </w:rPr>
      </w:pPr>
      <w:bookmarkStart w:id="0" w:name="_Hlk107747437"/>
      <w:r w:rsidRPr="000A24EC">
        <w:rPr>
          <w:rFonts w:ascii="Palatino Linotype" w:hAnsi="Palatino Linotype" w:cs="Calibri"/>
          <w:b/>
          <w:sz w:val="20"/>
          <w:szCs w:val="20"/>
        </w:rPr>
        <w:t>John Eastman</w:t>
      </w:r>
      <w:r w:rsidR="00F3208A" w:rsidRPr="000A24EC">
        <w:rPr>
          <w:rFonts w:ascii="Palatino Linotype" w:hAnsi="Palatino Linotype" w:cs="Calibri"/>
          <w:b/>
          <w:sz w:val="20"/>
          <w:szCs w:val="20"/>
        </w:rPr>
        <w:t xml:space="preserve">, </w:t>
      </w:r>
      <w:r w:rsidR="0085768E" w:rsidRPr="000A24EC">
        <w:rPr>
          <w:rFonts w:ascii="Palatino Linotype" w:hAnsi="Palatino Linotype" w:cs="Calibri"/>
          <w:b/>
          <w:sz w:val="20"/>
          <w:szCs w:val="20"/>
        </w:rPr>
        <w:t>Constitutional Authority of State Legislatures to Choose Electors</w:t>
      </w:r>
      <w:r w:rsidR="001246B5" w:rsidRPr="000A24EC">
        <w:rPr>
          <w:rFonts w:ascii="Palatino Linotype" w:hAnsi="Palatino Linotype" w:cs="Calibri"/>
          <w:sz w:val="20"/>
          <w:szCs w:val="20"/>
        </w:rPr>
        <w:t xml:space="preserve"> (</w:t>
      </w:r>
      <w:r w:rsidR="004A498D" w:rsidRPr="000A24EC">
        <w:rPr>
          <w:rFonts w:ascii="Palatino Linotype" w:hAnsi="Palatino Linotype" w:cs="Calibri"/>
          <w:sz w:val="20"/>
          <w:szCs w:val="20"/>
        </w:rPr>
        <w:t>2020</w:t>
      </w:r>
      <w:r w:rsidR="000E2F1A" w:rsidRPr="000A24EC">
        <w:rPr>
          <w:rFonts w:ascii="Palatino Linotype" w:hAnsi="Palatino Linotype" w:cs="Calibri"/>
          <w:sz w:val="20"/>
          <w:szCs w:val="20"/>
        </w:rPr>
        <w:t>)</w:t>
      </w:r>
    </w:p>
    <w:bookmarkEnd w:id="0"/>
    <w:p w14:paraId="301125D3" w14:textId="77777777" w:rsidR="000E2F1A" w:rsidRPr="000A24EC" w:rsidRDefault="00000000">
      <w:pPr>
        <w:rPr>
          <w:rFonts w:ascii="Palatino Linotype" w:hAnsi="Palatino Linotype" w:cs="Calibri"/>
          <w:sz w:val="20"/>
          <w:szCs w:val="20"/>
        </w:rPr>
      </w:pPr>
      <w:r w:rsidRPr="000A24EC">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0A24EC" w:rsidRDefault="000E2F1A">
      <w:pPr>
        <w:rPr>
          <w:rFonts w:ascii="Palatino Linotype" w:hAnsi="Palatino Linotype" w:cs="Calibri"/>
          <w:sz w:val="20"/>
          <w:szCs w:val="20"/>
        </w:rPr>
      </w:pPr>
    </w:p>
    <w:p w14:paraId="04EBCA6B" w14:textId="1B37A4FC" w:rsidR="000E2F1A" w:rsidRPr="000A24EC" w:rsidRDefault="00EE78D4" w:rsidP="004F7FE7">
      <w:pPr>
        <w:jc w:val="both"/>
        <w:rPr>
          <w:rFonts w:ascii="Palatino Linotype" w:hAnsi="Palatino Linotype" w:cs="Calibri"/>
          <w:i/>
          <w:sz w:val="20"/>
          <w:szCs w:val="20"/>
        </w:rPr>
      </w:pPr>
      <w:r w:rsidRPr="000A24EC">
        <w:rPr>
          <w:rFonts w:ascii="Palatino Linotype" w:hAnsi="Palatino Linotype" w:cs="Calibri"/>
          <w:i/>
          <w:sz w:val="20"/>
          <w:szCs w:val="20"/>
        </w:rPr>
        <w:t xml:space="preserve">The 2020 presidential election was hotly contested and rendered </w:t>
      </w:r>
      <w:proofErr w:type="gramStart"/>
      <w:r w:rsidRPr="000A24EC">
        <w:rPr>
          <w:rFonts w:ascii="Palatino Linotype" w:hAnsi="Palatino Linotype" w:cs="Calibri"/>
          <w:i/>
          <w:sz w:val="20"/>
          <w:szCs w:val="20"/>
        </w:rPr>
        <w:t>all the more</w:t>
      </w:r>
      <w:proofErr w:type="gramEnd"/>
      <w:r w:rsidRPr="000A24EC">
        <w:rPr>
          <w:rFonts w:ascii="Palatino Linotype" w:hAnsi="Palatino Linotype" w:cs="Calibri"/>
          <w:i/>
          <w:sz w:val="20"/>
          <w:szCs w:val="20"/>
        </w:rPr>
        <w:t xml:space="preserv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0A24EC" w:rsidRDefault="00EE78D4" w:rsidP="00EE78D4">
      <w:pPr>
        <w:ind w:firstLine="720"/>
        <w:jc w:val="both"/>
        <w:rPr>
          <w:rFonts w:ascii="Palatino Linotype" w:hAnsi="Palatino Linotype" w:cs="Calibri"/>
          <w:i/>
          <w:sz w:val="20"/>
          <w:szCs w:val="20"/>
        </w:rPr>
      </w:pPr>
      <w:r w:rsidRPr="000A24EC">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0A24EC">
        <w:rPr>
          <w:rFonts w:ascii="Palatino Linotype" w:hAnsi="Palatino Linotype" w:cs="Calibri"/>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w:t>
      </w:r>
      <w:proofErr w:type="gramStart"/>
      <w:r w:rsidR="00134F55" w:rsidRPr="000A24EC">
        <w:rPr>
          <w:rFonts w:ascii="Palatino Linotype" w:hAnsi="Palatino Linotype" w:cs="Calibri"/>
          <w:i/>
          <w:sz w:val="20"/>
          <w:szCs w:val="20"/>
        </w:rPr>
        <w:t>a sufficient number of</w:t>
      </w:r>
      <w:proofErr w:type="gramEnd"/>
      <w:r w:rsidR="00134F55" w:rsidRPr="000A24EC">
        <w:rPr>
          <w:rFonts w:ascii="Palatino Linotype" w:hAnsi="Palatino Linotype" w:cs="Calibri"/>
          <w:i/>
          <w:sz w:val="20"/>
          <w:szCs w:val="20"/>
        </w:rPr>
        <w:t xml:space="preserve">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0A24EC">
        <w:rPr>
          <w:rFonts w:ascii="Palatino Linotype" w:hAnsi="Palatino Linotype" w:cs="Calibri"/>
          <w:i/>
          <w:sz w:val="20"/>
          <w:szCs w:val="20"/>
        </w:rPr>
        <w:t>remove several of Trump’s posts and eventually to permanently suspend his account.</w:t>
      </w:r>
    </w:p>
    <w:p w14:paraId="7E67F24F" w14:textId="66A9874E" w:rsidR="00536FAB" w:rsidRPr="000A24EC" w:rsidRDefault="00682FE5" w:rsidP="00EE78D4">
      <w:pPr>
        <w:ind w:firstLine="720"/>
        <w:jc w:val="both"/>
        <w:rPr>
          <w:rFonts w:ascii="Palatino Linotype" w:hAnsi="Palatino Linotype" w:cs="Calibri"/>
          <w:i/>
          <w:sz w:val="20"/>
          <w:szCs w:val="20"/>
        </w:rPr>
      </w:pPr>
      <w:r w:rsidRPr="000A24EC">
        <w:rPr>
          <w:rFonts w:ascii="Palatino Linotype" w:hAnsi="Palatino Linotype" w:cs="Calibri"/>
          <w:i/>
          <w:sz w:val="20"/>
          <w:szCs w:val="20"/>
        </w:rPr>
        <w:t>In the days after the November election</w:t>
      </w:r>
      <w:r w:rsidR="00242356" w:rsidRPr="000A24EC">
        <w:rPr>
          <w:rFonts w:ascii="Palatino Linotype" w:hAnsi="Palatino Linotype" w:cs="Calibri"/>
          <w:i/>
          <w:sz w:val="20"/>
          <w:szCs w:val="20"/>
        </w:rPr>
        <w:t xml:space="preserve">, John Eastman </w:t>
      </w:r>
      <w:r w:rsidR="005D29B2" w:rsidRPr="000A24EC">
        <w:rPr>
          <w:rFonts w:ascii="Palatino Linotype" w:hAnsi="Palatino Linotype" w:cs="Calibri"/>
          <w:i/>
          <w:sz w:val="20"/>
          <w:szCs w:val="20"/>
        </w:rPr>
        <w:t xml:space="preserve">provided </w:t>
      </w:r>
      <w:r w:rsidRPr="000A24EC">
        <w:rPr>
          <w:rFonts w:ascii="Palatino Linotype" w:hAnsi="Palatino Linotype" w:cs="Calibri"/>
          <w:i/>
          <w:sz w:val="20"/>
          <w:szCs w:val="20"/>
        </w:rPr>
        <w:t>a memo to the Trump campaign on the possibility of Republican state legislatures displacing presidential electors pledged to vote for Democratic candidate Joe Biden and replacing them with Trump electors</w:t>
      </w:r>
      <w:r w:rsidR="00242356" w:rsidRPr="000A24EC">
        <w:rPr>
          <w:rFonts w:ascii="Palatino Linotype" w:hAnsi="Palatino Linotype" w:cs="Calibri"/>
          <w:i/>
          <w:sz w:val="20"/>
          <w:szCs w:val="20"/>
        </w:rPr>
        <w:t>. Eastman was a law professor at Chapman University and was the most distinguished member of the legal team that had been advocating on the president’s behalf since election night. Eastman spoke at the January 6</w:t>
      </w:r>
      <w:r w:rsidR="00D11C43" w:rsidRPr="000A24EC">
        <w:rPr>
          <w:rFonts w:ascii="Palatino Linotype" w:hAnsi="Palatino Linotype" w:cs="Calibri"/>
          <w:i/>
          <w:sz w:val="20"/>
          <w:szCs w:val="20"/>
          <w:vertAlign w:val="superscript"/>
        </w:rPr>
        <w:t>th</w:t>
      </w:r>
      <w:r w:rsidR="00242356" w:rsidRPr="000A24EC">
        <w:rPr>
          <w:rFonts w:ascii="Palatino Linotype" w:hAnsi="Palatino Linotype" w:cs="Calibri"/>
          <w:i/>
          <w:sz w:val="20"/>
          <w:szCs w:val="20"/>
        </w:rPr>
        <w:t xml:space="preserve"> rally outside the Capitol, and he laid out the legal case to Pence that held that the vice president had the authority to set aside state ballots that had been cast for Biden.</w:t>
      </w:r>
      <w:r w:rsidR="00536FAB" w:rsidRPr="000A24EC">
        <w:rPr>
          <w:rFonts w:ascii="Palatino Linotype" w:hAnsi="Palatino Linotype" w:cs="Calibri"/>
          <w:i/>
          <w:sz w:val="20"/>
          <w:szCs w:val="20"/>
        </w:rPr>
        <w:t xml:space="preserve"> Eastman </w:t>
      </w:r>
      <w:r w:rsidRPr="000A24EC">
        <w:rPr>
          <w:rFonts w:ascii="Palatino Linotype" w:hAnsi="Palatino Linotype" w:cs="Calibri"/>
          <w:i/>
          <w:sz w:val="20"/>
          <w:szCs w:val="20"/>
        </w:rPr>
        <w:t xml:space="preserve">eventually </w:t>
      </w:r>
      <w:r w:rsidR="00536FAB" w:rsidRPr="000A24EC">
        <w:rPr>
          <w:rFonts w:ascii="Palatino Linotype" w:hAnsi="Palatino Linotype" w:cs="Calibri"/>
          <w:i/>
          <w:sz w:val="20"/>
          <w:szCs w:val="20"/>
        </w:rPr>
        <w:t>argued that</w:t>
      </w:r>
      <w:r w:rsidR="002B4756" w:rsidRPr="000A24EC">
        <w:rPr>
          <w:rFonts w:ascii="Palatino Linotype" w:hAnsi="Palatino Linotype" w:cs="Calibri"/>
          <w:i/>
          <w:sz w:val="20"/>
          <w:szCs w:val="20"/>
        </w:rPr>
        <w:t xml:space="preserve"> even if Congress declared Biden the winner of the election on January 6</w:t>
      </w:r>
      <w:r w:rsidR="002B4756" w:rsidRPr="000A24EC">
        <w:rPr>
          <w:rFonts w:ascii="Palatino Linotype" w:hAnsi="Palatino Linotype" w:cs="Calibri"/>
          <w:i/>
          <w:sz w:val="20"/>
          <w:szCs w:val="20"/>
          <w:vertAlign w:val="superscript"/>
        </w:rPr>
        <w:t>th</w:t>
      </w:r>
      <w:r w:rsidR="002B4756" w:rsidRPr="000A24EC">
        <w:rPr>
          <w:rFonts w:ascii="Palatino Linotype" w:hAnsi="Palatino Linotype" w:cs="Calibri"/>
          <w:i/>
          <w:sz w:val="20"/>
          <w:szCs w:val="20"/>
        </w:rPr>
        <w:t>,</w:t>
      </w:r>
      <w:r w:rsidR="00536FAB" w:rsidRPr="000A24EC">
        <w:rPr>
          <w:rFonts w:ascii="Palatino Linotype" w:hAnsi="Palatino Linotype" w:cs="Calibri"/>
          <w:i/>
          <w:sz w:val="20"/>
          <w:szCs w:val="20"/>
        </w:rPr>
        <w:t xml:space="preserve"> the outcome of the presidential election could</w:t>
      </w:r>
      <w:r w:rsidR="002B4756" w:rsidRPr="000A24EC">
        <w:rPr>
          <w:rFonts w:ascii="Palatino Linotype" w:hAnsi="Palatino Linotype" w:cs="Calibri"/>
          <w:i/>
          <w:sz w:val="20"/>
          <w:szCs w:val="20"/>
        </w:rPr>
        <w:t xml:space="preserve"> still</w:t>
      </w:r>
      <w:r w:rsidR="00536FAB" w:rsidRPr="000A24EC">
        <w:rPr>
          <w:rFonts w:ascii="Palatino Linotype" w:hAnsi="Palatino Linotype" w:cs="Calibri"/>
          <w:i/>
          <w:sz w:val="20"/>
          <w:szCs w:val="20"/>
        </w:rPr>
        <w:t xml:space="preserve"> be changed</w:t>
      </w:r>
      <w:r w:rsidR="002B4756" w:rsidRPr="000A24EC">
        <w:rPr>
          <w:rFonts w:ascii="Palatino Linotype" w:hAnsi="Palatino Linotype" w:cs="Calibri"/>
          <w:i/>
          <w:sz w:val="20"/>
          <w:szCs w:val="20"/>
        </w:rPr>
        <w:t xml:space="preserve"> up to and</w:t>
      </w:r>
      <w:r w:rsidR="00536FAB" w:rsidRPr="000A24EC">
        <w:rPr>
          <w:rFonts w:ascii="Palatino Linotype" w:hAnsi="Palatino Linotype" w:cs="Calibri"/>
          <w:i/>
          <w:sz w:val="20"/>
          <w:szCs w:val="20"/>
        </w:rPr>
        <w:t xml:space="preserve"> </w:t>
      </w:r>
      <w:r w:rsidR="00536FAB" w:rsidRPr="000A24EC">
        <w:rPr>
          <w:rFonts w:ascii="Palatino Linotype" w:hAnsi="Palatino Linotype" w:cs="Calibri"/>
          <w:iCs/>
          <w:sz w:val="20"/>
          <w:szCs w:val="20"/>
        </w:rPr>
        <w:t xml:space="preserve">even after </w:t>
      </w:r>
      <w:r w:rsidR="00536FAB" w:rsidRPr="000A24EC">
        <w:rPr>
          <w:rFonts w:ascii="Palatino Linotype" w:hAnsi="Palatino Linotype" w:cs="Calibri"/>
          <w:i/>
          <w:sz w:val="20"/>
          <w:szCs w:val="20"/>
        </w:rPr>
        <w:t>Biden was inaugurated if legislatures determined that the election was “fraudulent.”</w:t>
      </w:r>
      <w:r w:rsidR="005F68A3" w:rsidRPr="000A24EC">
        <w:rPr>
          <w:rFonts w:ascii="Palatino Linotype" w:hAnsi="Palatino Linotype" w:cs="Calibri"/>
          <w:i/>
          <w:sz w:val="20"/>
          <w:szCs w:val="20"/>
        </w:rPr>
        <w:t xml:space="preserve"> In the days after January 6, Eastman sent an email to another Trump lawyer, former New York City Mayor Rudy Giuliani, saying “I’ve decided that I should be on the pardon list, if that is still in the works.”</w:t>
      </w:r>
    </w:p>
    <w:p w14:paraId="6B961F01" w14:textId="736E5DFC" w:rsidR="00242356" w:rsidRPr="000A24EC" w:rsidRDefault="00682FE5" w:rsidP="00EE78D4">
      <w:pPr>
        <w:ind w:firstLine="720"/>
        <w:jc w:val="both"/>
        <w:rPr>
          <w:rFonts w:ascii="Palatino Linotype" w:hAnsi="Palatino Linotype" w:cs="Calibri"/>
          <w:i/>
          <w:sz w:val="20"/>
          <w:szCs w:val="20"/>
        </w:rPr>
      </w:pPr>
      <w:r w:rsidRPr="000A24EC">
        <w:rPr>
          <w:rFonts w:ascii="Palatino Linotype" w:hAnsi="Palatino Linotype" w:cs="Calibri"/>
          <w:i/>
          <w:sz w:val="20"/>
          <w:szCs w:val="20"/>
        </w:rPr>
        <w:t xml:space="preserve">This memo built on the experience of the disputed presidential election of 2000. With the electoral victory hinging on the outcome of Florida, Republican presidential candidate George W. Bush held a razor-thin lead after the initial counting of the ballots. Democratic candidate Al Gore repeatedly turned to the Democratic-leaning state courts to challenge those results and generate a recount that would tilt the balance in his favor. As that legal battle dragged </w:t>
      </w:r>
      <w:r w:rsidRPr="000A24EC">
        <w:rPr>
          <w:rFonts w:ascii="Palatino Linotype" w:hAnsi="Palatino Linotype" w:cs="Calibri"/>
          <w:i/>
          <w:sz w:val="20"/>
          <w:szCs w:val="20"/>
        </w:rPr>
        <w:lastRenderedPageBreak/>
        <w:t>out and approached the date at which the Electoral College was slated to meet to cast its ballots to formally determine the winner of the presidential election</w:t>
      </w:r>
      <w:r w:rsidR="0035045D" w:rsidRPr="000A24EC">
        <w:rPr>
          <w:rFonts w:ascii="Palatino Linotype" w:hAnsi="Palatino Linotype" w:cs="Calibri"/>
          <w:i/>
          <w:sz w:val="20"/>
          <w:szCs w:val="20"/>
        </w:rPr>
        <w:t xml:space="preserve">, some Republicans began to argue that the Republican-controlled Florida state legislature should step in and settle the controversy by appointing a slate of Bush-pledged electors to represent the state in the Electoral College. That contingency proved unnecessary, but the stage was set </w:t>
      </w:r>
      <w:r w:rsidR="008F4E23" w:rsidRPr="000A24EC">
        <w:rPr>
          <w:rFonts w:ascii="Palatino Linotype" w:hAnsi="Palatino Linotype" w:cs="Calibri"/>
          <w:i/>
          <w:sz w:val="20"/>
          <w:szCs w:val="20"/>
        </w:rPr>
        <w:t xml:space="preserve">for </w:t>
      </w:r>
      <w:r w:rsidR="0035045D" w:rsidRPr="000A24EC">
        <w:rPr>
          <w:rFonts w:ascii="Palatino Linotype" w:hAnsi="Palatino Linotype" w:cs="Calibri"/>
          <w:i/>
          <w:sz w:val="20"/>
          <w:szCs w:val="20"/>
        </w:rPr>
        <w:t xml:space="preserve">some disappointed presidential aspirant to appeal to a friendly state legislature to cast the state’s electoral votes in his </w:t>
      </w:r>
      <w:r w:rsidR="008F4E23" w:rsidRPr="000A24EC">
        <w:rPr>
          <w:rFonts w:ascii="Palatino Linotype" w:hAnsi="Palatino Linotype" w:cs="Calibri"/>
          <w:i/>
          <w:sz w:val="20"/>
          <w:szCs w:val="20"/>
        </w:rPr>
        <w:t>favor. In 2020, Eastman urged the Trump campaign to make that play.</w:t>
      </w:r>
    </w:p>
    <w:p w14:paraId="6C1882DB" w14:textId="6499824D" w:rsidR="00A72670" w:rsidRPr="000A24EC" w:rsidRDefault="00A72670" w:rsidP="00EE78D4">
      <w:pPr>
        <w:ind w:firstLine="720"/>
        <w:jc w:val="both"/>
        <w:rPr>
          <w:rFonts w:ascii="Palatino Linotype" w:hAnsi="Palatino Linotype" w:cs="Calibri"/>
          <w:i/>
          <w:sz w:val="20"/>
          <w:szCs w:val="20"/>
        </w:rPr>
      </w:pPr>
      <w:r w:rsidRPr="000A24EC">
        <w:rPr>
          <w:rFonts w:ascii="Palatino Linotype" w:hAnsi="Palatino Linotype" w:cs="Calibri"/>
          <w:i/>
          <w:sz w:val="20"/>
          <w:szCs w:val="20"/>
        </w:rPr>
        <w:t xml:space="preserve">Ultimately, no state or federal court agreed with the Trump campaign’s arguments that a significant number of ballots had been cast illegally or fraudulently, and no state legislature </w:t>
      </w:r>
      <w:r w:rsidR="000E131E" w:rsidRPr="000A24EC">
        <w:rPr>
          <w:rFonts w:ascii="Palatino Linotype" w:hAnsi="Palatino Linotype" w:cs="Calibri"/>
          <w:i/>
          <w:sz w:val="20"/>
          <w:szCs w:val="20"/>
        </w:rPr>
        <w:t xml:space="preserve">went along with the Trump campaign’s plan to designate an “alternative” slate of presidential electors. When January 6, </w:t>
      </w:r>
      <w:proofErr w:type="gramStart"/>
      <w:r w:rsidR="000E131E" w:rsidRPr="000A24EC">
        <w:rPr>
          <w:rFonts w:ascii="Palatino Linotype" w:hAnsi="Palatino Linotype" w:cs="Calibri"/>
          <w:i/>
          <w:sz w:val="20"/>
          <w:szCs w:val="20"/>
        </w:rPr>
        <w:t>2021</w:t>
      </w:r>
      <w:proofErr w:type="gramEnd"/>
      <w:r w:rsidR="000E131E" w:rsidRPr="000A24EC">
        <w:rPr>
          <w:rFonts w:ascii="Palatino Linotype" w:hAnsi="Palatino Linotype" w:cs="Calibri"/>
          <w:i/>
          <w:sz w:val="20"/>
          <w:szCs w:val="20"/>
        </w:rPr>
        <w:t xml:space="preserve"> arrived, each state had submitted only one set of certificates recording the votes of the presidential electors and those certificates matched the results of the general election in which the voters had cast their ballots in November 2020. Though interrupted by the riot, Vice President Pence oversaw the opening of those certificates and the counting of those electoral votes and declared Biden the winner of the presidential election.</w:t>
      </w:r>
    </w:p>
    <w:p w14:paraId="0ED1C5B6" w14:textId="77777777" w:rsidR="00EE78D4" w:rsidRPr="000A24EC" w:rsidRDefault="00EE78D4" w:rsidP="004F7FE7">
      <w:pPr>
        <w:jc w:val="both"/>
        <w:rPr>
          <w:rFonts w:ascii="Palatino Linotype" w:hAnsi="Palatino Linotype" w:cs="Calibri"/>
          <w:sz w:val="20"/>
          <w:szCs w:val="20"/>
        </w:rPr>
      </w:pPr>
    </w:p>
    <w:p w14:paraId="73647A5B" w14:textId="36943CFF" w:rsidR="000B1156" w:rsidRPr="000A24EC" w:rsidRDefault="008F4E23" w:rsidP="000B1156">
      <w:pPr>
        <w:autoSpaceDE w:val="0"/>
        <w:autoSpaceDN w:val="0"/>
        <w:adjustRightInd w:val="0"/>
        <w:ind w:firstLine="720"/>
        <w:rPr>
          <w:rFonts w:ascii="Palatino Linotype" w:hAnsi="Palatino Linotype"/>
          <w:w w:val="105"/>
          <w:sz w:val="20"/>
          <w:szCs w:val="20"/>
        </w:rPr>
      </w:pPr>
      <w:r w:rsidRPr="000A24EC">
        <w:rPr>
          <w:rFonts w:ascii="Palatino Linotype" w:hAnsi="Palatino Linotype"/>
          <w:w w:val="105"/>
          <w:sz w:val="20"/>
          <w:szCs w:val="20"/>
        </w:rPr>
        <w:t xml:space="preserve">In </w:t>
      </w:r>
      <w:proofErr w:type="gramStart"/>
      <w:r w:rsidRPr="000A24EC">
        <w:rPr>
          <w:rFonts w:ascii="Palatino Linotype" w:hAnsi="Palatino Linotype"/>
          <w:w w:val="105"/>
          <w:sz w:val="20"/>
          <w:szCs w:val="20"/>
        </w:rPr>
        <w:t>a number of</w:t>
      </w:r>
      <w:proofErr w:type="gramEnd"/>
      <w:r w:rsidRPr="000A24EC">
        <w:rPr>
          <w:rFonts w:ascii="Palatino Linotype" w:hAnsi="Palatino Linotype"/>
          <w:w w:val="105"/>
          <w:sz w:val="20"/>
          <w:szCs w:val="20"/>
        </w:rPr>
        <w:t xml:space="preserve"> jurisdictions, state executive branch officials or courts have altered state election laws in ways that may be affecting the outcome of the Presidential election, or at the very least creating unacceptable uncertainty about the results of the election. In Wisconsin, for example, the Wisconsin Elections Commission authorized local election clerks to "cure" spoiled ballots</w:t>
      </w:r>
      <w:r w:rsidRPr="000A24EC">
        <w:rPr>
          <w:rFonts w:ascii="Palatino Linotype" w:hAnsi="Palatino Linotype"/>
          <w:spacing w:val="-6"/>
          <w:w w:val="105"/>
          <w:sz w:val="20"/>
          <w:szCs w:val="20"/>
        </w:rPr>
        <w:t xml:space="preserve"> </w:t>
      </w:r>
      <w:r w:rsidRPr="000A24EC">
        <w:rPr>
          <w:rFonts w:ascii="Palatino Linotype" w:hAnsi="Palatino Linotype"/>
          <w:w w:val="105"/>
          <w:sz w:val="20"/>
          <w:szCs w:val="20"/>
        </w:rPr>
        <w:t>by</w:t>
      </w:r>
      <w:r w:rsidRPr="000A24EC">
        <w:rPr>
          <w:rFonts w:ascii="Palatino Linotype" w:hAnsi="Palatino Linotype"/>
          <w:spacing w:val="-15"/>
          <w:w w:val="105"/>
          <w:sz w:val="20"/>
          <w:szCs w:val="20"/>
        </w:rPr>
        <w:t xml:space="preserve"> </w:t>
      </w:r>
      <w:r w:rsidRPr="000A24EC">
        <w:rPr>
          <w:rFonts w:ascii="Palatino Linotype" w:hAnsi="Palatino Linotype"/>
          <w:w w:val="105"/>
          <w:sz w:val="20"/>
          <w:szCs w:val="20"/>
        </w:rPr>
        <w:t>adding</w:t>
      </w:r>
      <w:r w:rsidRPr="000A24EC">
        <w:rPr>
          <w:rFonts w:ascii="Palatino Linotype" w:hAnsi="Palatino Linotype"/>
          <w:spacing w:val="-6"/>
          <w:w w:val="105"/>
          <w:sz w:val="20"/>
          <w:szCs w:val="20"/>
        </w:rPr>
        <w:t xml:space="preserve"> </w:t>
      </w:r>
      <w:r w:rsidRPr="000A24EC">
        <w:rPr>
          <w:rFonts w:ascii="Palatino Linotype" w:hAnsi="Palatino Linotype"/>
          <w:w w:val="105"/>
          <w:sz w:val="20"/>
          <w:szCs w:val="20"/>
        </w:rPr>
        <w:t>missing</w:t>
      </w:r>
      <w:r w:rsidRPr="000A24EC">
        <w:rPr>
          <w:rFonts w:ascii="Palatino Linotype" w:hAnsi="Palatino Linotype"/>
          <w:spacing w:val="-5"/>
          <w:w w:val="105"/>
          <w:sz w:val="20"/>
          <w:szCs w:val="20"/>
        </w:rPr>
        <w:t xml:space="preserve"> </w:t>
      </w:r>
      <w:r w:rsidRPr="000A24EC">
        <w:rPr>
          <w:rFonts w:ascii="Palatino Linotype" w:hAnsi="Palatino Linotype"/>
          <w:w w:val="105"/>
          <w:sz w:val="20"/>
          <w:szCs w:val="20"/>
        </w:rPr>
        <w:t>addresses</w:t>
      </w:r>
      <w:r w:rsidRPr="000A24EC">
        <w:rPr>
          <w:rFonts w:ascii="Palatino Linotype" w:hAnsi="Palatino Linotype"/>
          <w:spacing w:val="-2"/>
          <w:w w:val="105"/>
          <w:sz w:val="20"/>
          <w:szCs w:val="20"/>
        </w:rPr>
        <w:t xml:space="preserve"> </w:t>
      </w:r>
      <w:r w:rsidRPr="000A24EC">
        <w:rPr>
          <w:rFonts w:ascii="Palatino Linotype" w:hAnsi="Palatino Linotype"/>
          <w:w w:val="105"/>
          <w:sz w:val="20"/>
          <w:szCs w:val="20"/>
        </w:rPr>
        <w:t>of</w:t>
      </w:r>
      <w:r w:rsidRPr="000A24EC">
        <w:rPr>
          <w:rFonts w:ascii="Palatino Linotype" w:hAnsi="Palatino Linotype"/>
          <w:spacing w:val="-13"/>
          <w:w w:val="105"/>
          <w:sz w:val="20"/>
          <w:szCs w:val="20"/>
        </w:rPr>
        <w:t xml:space="preserve"> </w:t>
      </w:r>
      <w:r w:rsidRPr="000A24EC">
        <w:rPr>
          <w:rFonts w:ascii="Palatino Linotype" w:hAnsi="Palatino Linotype"/>
          <w:w w:val="105"/>
          <w:sz w:val="20"/>
          <w:szCs w:val="20"/>
        </w:rPr>
        <w:t>witnesses,</w:t>
      </w:r>
      <w:r w:rsidRPr="000A24EC">
        <w:rPr>
          <w:rFonts w:ascii="Palatino Linotype" w:hAnsi="Palatino Linotype"/>
          <w:spacing w:val="-1"/>
          <w:w w:val="105"/>
          <w:sz w:val="20"/>
          <w:szCs w:val="20"/>
        </w:rPr>
        <w:t xml:space="preserve"> </w:t>
      </w:r>
      <w:r w:rsidRPr="000A24EC">
        <w:rPr>
          <w:rFonts w:ascii="Palatino Linotype" w:hAnsi="Palatino Linotype"/>
          <w:w w:val="105"/>
          <w:sz w:val="20"/>
          <w:szCs w:val="20"/>
        </w:rPr>
        <w:t>in</w:t>
      </w:r>
      <w:r w:rsidRPr="000A24EC">
        <w:rPr>
          <w:rFonts w:ascii="Palatino Linotype" w:hAnsi="Palatino Linotype"/>
          <w:spacing w:val="-15"/>
          <w:w w:val="105"/>
          <w:sz w:val="20"/>
          <w:szCs w:val="20"/>
        </w:rPr>
        <w:t xml:space="preserve"> </w:t>
      </w:r>
      <w:r w:rsidRPr="000A24EC">
        <w:rPr>
          <w:rFonts w:ascii="Palatino Linotype" w:hAnsi="Palatino Linotype"/>
          <w:w w:val="105"/>
          <w:sz w:val="20"/>
          <w:szCs w:val="20"/>
        </w:rPr>
        <w:t>violation</w:t>
      </w:r>
      <w:r w:rsidRPr="000A24EC">
        <w:rPr>
          <w:rFonts w:ascii="Palatino Linotype" w:hAnsi="Palatino Linotype"/>
          <w:spacing w:val="-9"/>
          <w:w w:val="105"/>
          <w:sz w:val="20"/>
          <w:szCs w:val="20"/>
        </w:rPr>
        <w:t xml:space="preserve"> </w:t>
      </w:r>
      <w:r w:rsidRPr="000A24EC">
        <w:rPr>
          <w:rFonts w:ascii="Palatino Linotype" w:hAnsi="Palatino Linotype"/>
          <w:w w:val="105"/>
          <w:sz w:val="20"/>
          <w:szCs w:val="20"/>
        </w:rPr>
        <w:t>of</w:t>
      </w:r>
      <w:r w:rsidRPr="000A24EC">
        <w:rPr>
          <w:rFonts w:ascii="Palatino Linotype" w:hAnsi="Palatino Linotype"/>
          <w:spacing w:val="-16"/>
          <w:w w:val="105"/>
          <w:sz w:val="20"/>
          <w:szCs w:val="20"/>
        </w:rPr>
        <w:t xml:space="preserve"> </w:t>
      </w:r>
      <w:r w:rsidRPr="000A24EC">
        <w:rPr>
          <w:rFonts w:ascii="Palatino Linotype" w:hAnsi="Palatino Linotype"/>
          <w:w w:val="105"/>
          <w:sz w:val="20"/>
          <w:szCs w:val="20"/>
        </w:rPr>
        <w:t>state</w:t>
      </w:r>
      <w:r w:rsidRPr="000A24EC">
        <w:rPr>
          <w:rFonts w:ascii="Palatino Linotype" w:hAnsi="Palatino Linotype"/>
          <w:spacing w:val="-12"/>
          <w:w w:val="105"/>
          <w:sz w:val="20"/>
          <w:szCs w:val="20"/>
        </w:rPr>
        <w:t xml:space="preserve"> </w:t>
      </w:r>
      <w:r w:rsidRPr="000A24EC">
        <w:rPr>
          <w:rFonts w:ascii="Palatino Linotype" w:hAnsi="Palatino Linotype"/>
          <w:w w:val="105"/>
          <w:sz w:val="20"/>
          <w:szCs w:val="20"/>
        </w:rPr>
        <w:t>law,</w:t>
      </w:r>
      <w:r w:rsidRPr="000A24EC">
        <w:rPr>
          <w:rFonts w:ascii="Palatino Linotype" w:hAnsi="Palatino Linotype"/>
          <w:spacing w:val="-10"/>
          <w:w w:val="105"/>
          <w:sz w:val="20"/>
          <w:szCs w:val="20"/>
        </w:rPr>
        <w:t xml:space="preserve"> </w:t>
      </w:r>
      <w:r w:rsidRPr="000A24EC">
        <w:rPr>
          <w:rFonts w:ascii="Palatino Linotype" w:hAnsi="Palatino Linotype"/>
          <w:w w:val="105"/>
          <w:sz w:val="20"/>
          <w:szCs w:val="20"/>
        </w:rPr>
        <w:t>and</w:t>
      </w:r>
      <w:r w:rsidRPr="000A24EC">
        <w:rPr>
          <w:rFonts w:ascii="Palatino Linotype" w:hAnsi="Palatino Linotype"/>
          <w:spacing w:val="-10"/>
          <w:w w:val="105"/>
          <w:sz w:val="20"/>
          <w:szCs w:val="20"/>
        </w:rPr>
        <w:t xml:space="preserve"> </w:t>
      </w:r>
      <w:r w:rsidRPr="000A24EC">
        <w:rPr>
          <w:rFonts w:ascii="Palatino Linotype" w:hAnsi="Palatino Linotype"/>
          <w:w w:val="105"/>
          <w:sz w:val="20"/>
          <w:szCs w:val="20"/>
        </w:rPr>
        <w:t>it</w:t>
      </w:r>
      <w:r w:rsidRPr="000A24EC">
        <w:rPr>
          <w:rFonts w:ascii="Palatino Linotype" w:hAnsi="Palatino Linotype"/>
          <w:spacing w:val="-11"/>
          <w:w w:val="105"/>
          <w:sz w:val="20"/>
          <w:szCs w:val="20"/>
        </w:rPr>
        <w:t xml:space="preserve"> </w:t>
      </w:r>
      <w:r w:rsidRPr="000A24EC">
        <w:rPr>
          <w:rFonts w:ascii="Palatino Linotype" w:hAnsi="Palatino Linotype"/>
          <w:w w:val="105"/>
          <w:sz w:val="20"/>
          <w:szCs w:val="20"/>
        </w:rPr>
        <w:t>directed county clerks to ignore state voter id laws for anyone claiming they were "indefinitely confined" because of Covid fears</w:t>
      </w:r>
      <w:proofErr w:type="gramStart"/>
      <w:r w:rsidRPr="000A24EC">
        <w:rPr>
          <w:rFonts w:ascii="Palatino Linotype" w:hAnsi="Palatino Linotype"/>
          <w:w w:val="105"/>
          <w:sz w:val="20"/>
          <w:szCs w:val="20"/>
        </w:rPr>
        <w:t>. . . .</w:t>
      </w:r>
      <w:proofErr w:type="gramEnd"/>
      <w:r w:rsidRPr="000A24EC">
        <w:rPr>
          <w:rFonts w:ascii="Palatino Linotype" w:hAnsi="Palatino Linotype"/>
          <w:w w:val="105"/>
          <w:sz w:val="20"/>
          <w:szCs w:val="20"/>
        </w:rPr>
        <w:t xml:space="preserve"> Pennsylvania's Secretary of State likewise unilaterally ordered an extension of the deadline for receipt of absentee ballots, contrary to Pennsylvania law</w:t>
      </w:r>
      <w:proofErr w:type="gramStart"/>
      <w:r w:rsidRPr="000A24EC">
        <w:rPr>
          <w:rFonts w:ascii="Palatino Linotype" w:hAnsi="Palatino Linotype"/>
          <w:w w:val="105"/>
          <w:sz w:val="20"/>
          <w:szCs w:val="20"/>
        </w:rPr>
        <w:t>. . . .</w:t>
      </w:r>
      <w:proofErr w:type="gramEnd"/>
    </w:p>
    <w:p w14:paraId="6FF4E278" w14:textId="09E0D0A0" w:rsidR="008F4E23" w:rsidRPr="000A24EC" w:rsidRDefault="008F4E23" w:rsidP="000B1156">
      <w:pPr>
        <w:autoSpaceDE w:val="0"/>
        <w:autoSpaceDN w:val="0"/>
        <w:adjustRightInd w:val="0"/>
        <w:ind w:firstLine="720"/>
        <w:rPr>
          <w:rFonts w:ascii="Palatino Linotype" w:hAnsi="Palatino Linotype" w:cs="Helvetica"/>
          <w:sz w:val="20"/>
          <w:szCs w:val="20"/>
        </w:rPr>
      </w:pPr>
      <w:r w:rsidRPr="000A24EC">
        <w:rPr>
          <w:rFonts w:ascii="Palatino Linotype" w:hAnsi="Palatino Linotype" w:cs="Helvetica"/>
          <w:sz w:val="20"/>
          <w:szCs w:val="20"/>
        </w:rPr>
        <w:t xml:space="preserve">All of these actions are undermining the constitutional authority of the </w:t>
      </w:r>
      <w:r w:rsidRPr="000A24EC">
        <w:rPr>
          <w:rFonts w:ascii="Palatino Linotype" w:hAnsi="Palatino Linotype" w:cs="Helvetica"/>
          <w:i/>
          <w:sz w:val="20"/>
          <w:szCs w:val="20"/>
        </w:rPr>
        <w:t>Legislature</w:t>
      </w:r>
      <w:r w:rsidRPr="000A24EC">
        <w:rPr>
          <w:rFonts w:ascii="Palatino Linotype" w:hAnsi="Palatino Linotype" w:cs="Helvetica"/>
          <w:sz w:val="20"/>
          <w:szCs w:val="20"/>
        </w:rPr>
        <w:t xml:space="preserve"> of each State to determine the “Manner” in which the State’s presidential electors are appointed</w:t>
      </w:r>
      <w:proofErr w:type="gramStart"/>
      <w:r w:rsidRPr="000A24EC">
        <w:rPr>
          <w:rFonts w:ascii="Palatino Linotype" w:hAnsi="Palatino Linotype" w:cs="Helvetica"/>
          <w:sz w:val="20"/>
          <w:szCs w:val="20"/>
        </w:rPr>
        <w:t>. . . .</w:t>
      </w:r>
      <w:proofErr w:type="gramEnd"/>
      <w:r w:rsidRPr="000A24EC">
        <w:rPr>
          <w:rFonts w:ascii="Palatino Linotype" w:hAnsi="Palatino Linotype" w:cs="Helvetica"/>
          <w:sz w:val="20"/>
          <w:szCs w:val="20"/>
        </w:rPr>
        <w:t xml:space="preserve"> The question is: What can be done about it? For most of the violations, the damage has already been irretrievably done. The ballots that have been illegally “cured,” or accepted without complying with voter ID requirements, or accepted after the statutory deadline, have been intermixed with valid ballots and can [no] longer be identified so that the illegally-cast ballots can be deducted from the totals. A new election could be held, free of the taint of the illegal conduct, as occurred in 2018 after an </w:t>
      </w:r>
      <w:r w:rsidR="00A72670" w:rsidRPr="000A24EC">
        <w:rPr>
          <w:rFonts w:ascii="Palatino Linotype" w:hAnsi="Palatino Linotype" w:cs="Helvetica"/>
          <w:sz w:val="20"/>
          <w:szCs w:val="20"/>
        </w:rPr>
        <w:t>illegal ballot harvesting scheme was uncovered in the election for North Carolina’s 9</w:t>
      </w:r>
      <w:r w:rsidR="00A72670" w:rsidRPr="000A24EC">
        <w:rPr>
          <w:rFonts w:ascii="Palatino Linotype" w:hAnsi="Palatino Linotype" w:cs="Helvetica"/>
          <w:sz w:val="20"/>
          <w:szCs w:val="20"/>
          <w:vertAlign w:val="superscript"/>
        </w:rPr>
        <w:t>th</w:t>
      </w:r>
      <w:r w:rsidR="00A72670" w:rsidRPr="000A24EC">
        <w:rPr>
          <w:rFonts w:ascii="Palatino Linotype" w:hAnsi="Palatino Linotype" w:cs="Helvetica"/>
          <w:sz w:val="20"/>
          <w:szCs w:val="20"/>
        </w:rPr>
        <w:t xml:space="preserve"> congressional district, but it would have to be statewide to avoid violation [of] the Fourteenth Amendment’s Equal Protection Clause, and the December 14 statutory deadline for the meeting of the electors makes that logistically implausible, placing the very ability of the affected states to appoint electors at risk. But there is a third alternative.</w:t>
      </w:r>
    </w:p>
    <w:p w14:paraId="10B03EF4" w14:textId="5D9462D6" w:rsidR="00A72670" w:rsidRPr="000A24EC" w:rsidRDefault="00A72670" w:rsidP="000B1156">
      <w:pPr>
        <w:autoSpaceDE w:val="0"/>
        <w:autoSpaceDN w:val="0"/>
        <w:adjustRightInd w:val="0"/>
        <w:ind w:firstLine="720"/>
        <w:rPr>
          <w:rFonts w:ascii="Palatino Linotype" w:hAnsi="Palatino Linotype"/>
          <w:sz w:val="20"/>
          <w:szCs w:val="20"/>
        </w:rPr>
      </w:pPr>
      <w:r w:rsidRPr="000A24EC">
        <w:rPr>
          <w:rFonts w:ascii="Palatino Linotype" w:hAnsi="Palatino Linotype"/>
          <w:sz w:val="20"/>
          <w:szCs w:val="20"/>
        </w:rPr>
        <w:t xml:space="preserve">In the early decades of our nation’s history, most state legislatures selected the state’s presidential electors themselves; only after 1824 did </w:t>
      </w:r>
      <w:proofErr w:type="gramStart"/>
      <w:r w:rsidRPr="000A24EC">
        <w:rPr>
          <w:rFonts w:ascii="Palatino Linotype" w:hAnsi="Palatino Linotype"/>
          <w:sz w:val="20"/>
          <w:szCs w:val="20"/>
        </w:rPr>
        <w:t>the majority of</w:t>
      </w:r>
      <w:proofErr w:type="gramEnd"/>
      <w:r w:rsidRPr="000A24EC">
        <w:rPr>
          <w:rFonts w:ascii="Palatino Linotype" w:hAnsi="Palatino Linotype"/>
          <w:sz w:val="20"/>
          <w:szCs w:val="20"/>
        </w:rPr>
        <w:t xml:space="preserve"> state legislatures provide for choosing electors by popular election. Nevertheless, the constitutional power to decide on the method for choosing electors remains exclusively with state legislatures. The Supreme Court has described the constitutional authority of the state legislatures to determine the manner of choosing electors as “plenary.” It has even noted that, “whatever provisions may be made by statute, or by the state constitution, to choose electors by the people, there is no doubt of the right of the legislature to resume the power at any time.” </w:t>
      </w:r>
      <w:r w:rsidRPr="000A24EC">
        <w:rPr>
          <w:rFonts w:ascii="Palatino Linotype" w:hAnsi="Palatino Linotype"/>
          <w:i/>
          <w:sz w:val="20"/>
          <w:szCs w:val="20"/>
        </w:rPr>
        <w:t>McPherson v. Blacker</w:t>
      </w:r>
      <w:r w:rsidRPr="000A24EC">
        <w:rPr>
          <w:rFonts w:ascii="Palatino Linotype" w:hAnsi="Palatino Linotype"/>
          <w:sz w:val="20"/>
          <w:szCs w:val="20"/>
        </w:rPr>
        <w:t xml:space="preserve"> (1892). To be sure, “at any time” would likely not allow the Legislature to pick its own slate of electors </w:t>
      </w:r>
      <w:r w:rsidRPr="000A24EC">
        <w:rPr>
          <w:rStyle w:val="Emphasis"/>
          <w:rFonts w:ascii="Palatino Linotype" w:hAnsi="Palatino Linotype"/>
          <w:sz w:val="20"/>
          <w:szCs w:val="20"/>
        </w:rPr>
        <w:t>after</w:t>
      </w:r>
      <w:r w:rsidRPr="000A24EC">
        <w:rPr>
          <w:rFonts w:ascii="Palatino Linotype" w:hAnsi="Palatino Linotype"/>
          <w:sz w:val="20"/>
          <w:szCs w:val="20"/>
        </w:rPr>
        <w:t xml:space="preserve"> the results of a fair election which had been conducted pursuant to the Legislature’s existing statutory procedures, merely on the grounds that the Legislature would have preferred a different outcome. </w:t>
      </w:r>
      <w:r w:rsidRPr="000A24EC">
        <w:rPr>
          <w:rFonts w:ascii="Palatino Linotype" w:hAnsi="Palatino Linotype"/>
          <w:i/>
          <w:sz w:val="20"/>
          <w:szCs w:val="20"/>
        </w:rPr>
        <w:t>Bush v. Gore</w:t>
      </w:r>
      <w:r w:rsidRPr="000A24EC">
        <w:rPr>
          <w:rFonts w:ascii="Palatino Linotype" w:hAnsi="Palatino Linotype"/>
          <w:sz w:val="20"/>
          <w:szCs w:val="20"/>
        </w:rPr>
        <w:t xml:space="preserve"> (2000). But such is not the case when the existing procedures were not followed, and when significant statistical anomalies raise serious questions about whether the election was fair. In such cases, the “manner” for choosing electors set out by the Legislature was not followed; the constitutional default of the Legislature exercising its plenary power—or, rather, resuming that power—is therefore again at the forefront</w:t>
      </w:r>
      <w:proofErr w:type="gramStart"/>
      <w:r w:rsidRPr="000A24EC">
        <w:rPr>
          <w:rFonts w:ascii="Palatino Linotype" w:hAnsi="Palatino Linotype"/>
          <w:sz w:val="20"/>
          <w:szCs w:val="20"/>
        </w:rPr>
        <w:t>. . . .</w:t>
      </w:r>
      <w:proofErr w:type="gramEnd"/>
    </w:p>
    <w:p w14:paraId="20A0A042" w14:textId="162C71E6" w:rsidR="00A72670" w:rsidRPr="000A24EC" w:rsidRDefault="00A72670" w:rsidP="000B1156">
      <w:pPr>
        <w:autoSpaceDE w:val="0"/>
        <w:autoSpaceDN w:val="0"/>
        <w:adjustRightInd w:val="0"/>
        <w:ind w:firstLine="720"/>
        <w:rPr>
          <w:rFonts w:ascii="Palatino Linotype" w:hAnsi="Palatino Linotype"/>
          <w:sz w:val="20"/>
          <w:szCs w:val="20"/>
        </w:rPr>
      </w:pPr>
      <w:r w:rsidRPr="000A24EC">
        <w:rPr>
          <w:rFonts w:ascii="Palatino Linotype" w:hAnsi="Palatino Linotype"/>
          <w:sz w:val="20"/>
          <w:szCs w:val="20"/>
        </w:rPr>
        <w:lastRenderedPageBreak/>
        <w:t xml:space="preserve">This is in accord with federal law as well. Section 2 of Title 8 provides: “Whenever any State has held an election for the purpose of choosing </w:t>
      </w:r>
      <w:proofErr w:type="gramStart"/>
      <w:r w:rsidRPr="000A24EC">
        <w:rPr>
          <w:rFonts w:ascii="Palatino Linotype" w:hAnsi="Palatino Linotype"/>
          <w:sz w:val="20"/>
          <w:szCs w:val="20"/>
        </w:rPr>
        <w:t>electors, and</w:t>
      </w:r>
      <w:proofErr w:type="gramEnd"/>
      <w:r w:rsidRPr="000A24EC">
        <w:rPr>
          <w:rFonts w:ascii="Palatino Linotype" w:hAnsi="Palatino Linotype"/>
          <w:sz w:val="20"/>
          <w:szCs w:val="20"/>
        </w:rPr>
        <w:t xml:space="preserve"> has failed to make a choice on the day prescribed by law, the electors may be appointed on a subsequent day in such a manner as the legislature of such State may direct.” The intermingling of illegal with legal ballots in significant enough numbers that the election cannot be validly certified, means that the State “has failed to make a choice” on election day, and the appointment of electors therefore devolves back on the Legislature of the State, which has plenary power to decide whether to exercise that appointment power itself, or to craft some other mechanism for appointing the State’s slate of electors.</w:t>
      </w:r>
    </w:p>
    <w:p w14:paraId="421A50C2" w14:textId="211678FE" w:rsidR="00A72670" w:rsidRPr="000A24EC" w:rsidRDefault="00A72670" w:rsidP="000B1156">
      <w:pPr>
        <w:autoSpaceDE w:val="0"/>
        <w:autoSpaceDN w:val="0"/>
        <w:adjustRightInd w:val="0"/>
        <w:ind w:firstLine="720"/>
        <w:rPr>
          <w:rFonts w:ascii="Palatino Linotype" w:hAnsi="Palatino Linotype"/>
          <w:sz w:val="20"/>
          <w:szCs w:val="20"/>
        </w:rPr>
      </w:pPr>
      <w:r w:rsidRPr="000A24EC">
        <w:rPr>
          <w:rFonts w:ascii="Palatino Linotype" w:hAnsi="Palatino Linotype"/>
          <w:sz w:val="20"/>
          <w:szCs w:val="20"/>
        </w:rPr>
        <w:t>This is what the Florida legislature was prepared to do in 2000, prior to the resolution of that State’s election controversy by the Supreme Court in </w:t>
      </w:r>
      <w:r w:rsidRPr="000A24EC">
        <w:rPr>
          <w:rStyle w:val="Emphasis"/>
          <w:rFonts w:ascii="Palatino Linotype" w:hAnsi="Palatino Linotype"/>
          <w:sz w:val="20"/>
          <w:szCs w:val="20"/>
        </w:rPr>
        <w:t>Bush v. Gore</w:t>
      </w:r>
      <w:r w:rsidRPr="000A24EC">
        <w:rPr>
          <w:rFonts w:ascii="Palatino Linotype" w:hAnsi="Palatino Linotype"/>
          <w:sz w:val="20"/>
          <w:szCs w:val="20"/>
        </w:rPr>
        <w:t>. The vote on election day had been certified by the Florida Secretary of State as a Bush victory, but the State Supreme Court had, contrary to state law, ordered a recount in only heavily-Democrat counties. The expectation was that such a partial recount would have tilted the election to Gore, and therefore either invalidated the initial certification or at least called it into question. The relevant committees in both houses of the State legislature therefore crafted identical resolutions that would allow the Legislature to reclaim the plenary power of choosing its own slate of electors (with the expectation that the Legislature’s slate would support Bush).</w:t>
      </w:r>
    </w:p>
    <w:p w14:paraId="762C7705" w14:textId="429B8AC6" w:rsidR="00A72670" w:rsidRPr="000A24EC" w:rsidRDefault="00A72670" w:rsidP="000B1156">
      <w:pPr>
        <w:autoSpaceDE w:val="0"/>
        <w:autoSpaceDN w:val="0"/>
        <w:adjustRightInd w:val="0"/>
        <w:ind w:firstLine="720"/>
        <w:rPr>
          <w:rFonts w:ascii="Palatino Linotype" w:hAnsi="Palatino Linotype"/>
          <w:sz w:val="20"/>
          <w:szCs w:val="20"/>
        </w:rPr>
      </w:pPr>
      <w:r w:rsidRPr="000A24EC">
        <w:rPr>
          <w:rFonts w:ascii="Palatino Linotype" w:hAnsi="Palatino Linotype"/>
          <w:sz w:val="20"/>
          <w:szCs w:val="20"/>
        </w:rPr>
        <w:t>There is more than enough in the way of alteration of the legislatively approved manner of choosing electors to warrant legislatures in several states taking back their plenary power to determine the manner of choosing electors, even to the point of adopting a slate of electors themselves. Moreover, when one adds into the mix the significant statistical anomalies that raise serious concerns of outright election fraud, the Legislatures should feel themselves duty bound to rectify the situation by the constitutional remedy available to them.</w:t>
      </w:r>
    </w:p>
    <w:p w14:paraId="6427B780" w14:textId="27F649E3" w:rsidR="00A72670" w:rsidRPr="000A24EC" w:rsidRDefault="00A72670" w:rsidP="000B1156">
      <w:pPr>
        <w:autoSpaceDE w:val="0"/>
        <w:autoSpaceDN w:val="0"/>
        <w:adjustRightInd w:val="0"/>
        <w:ind w:firstLine="720"/>
        <w:rPr>
          <w:rFonts w:ascii="Palatino Linotype" w:hAnsi="Palatino Linotype"/>
          <w:sz w:val="20"/>
          <w:szCs w:val="20"/>
        </w:rPr>
      </w:pPr>
      <w:r w:rsidRPr="000A24EC">
        <w:rPr>
          <w:rFonts w:ascii="Palatino Linotype" w:hAnsi="Palatino Linotype"/>
          <w:sz w:val="20"/>
          <w:szCs w:val="20"/>
        </w:rPr>
        <w:t>. . . .</w:t>
      </w:r>
    </w:p>
    <w:p w14:paraId="2E7D4FC0" w14:textId="25E8568D" w:rsidR="00A72670" w:rsidRPr="000A24EC" w:rsidRDefault="00A72670" w:rsidP="000B1156">
      <w:pPr>
        <w:autoSpaceDE w:val="0"/>
        <w:autoSpaceDN w:val="0"/>
        <w:adjustRightInd w:val="0"/>
        <w:ind w:firstLine="720"/>
        <w:rPr>
          <w:rFonts w:ascii="Palatino Linotype" w:hAnsi="Palatino Linotype" w:cs="Helvetica"/>
          <w:sz w:val="20"/>
          <w:szCs w:val="20"/>
        </w:rPr>
      </w:pPr>
      <w:r w:rsidRPr="000A24EC">
        <w:rPr>
          <w:rFonts w:ascii="Palatino Linotype" w:hAnsi="Palatino Linotype"/>
          <w:sz w:val="20"/>
          <w:szCs w:val="20"/>
        </w:rPr>
        <w:t>These statistical anomalies, particularly when combined with hard evidence of voters barred from voting because someone had, unbeknownst to them, requested and at times even voted an absentee ballot in their name, strongly support the conclusion that something is amiss here, and that Legislatures simply </w:t>
      </w:r>
      <w:r w:rsidRPr="000A24EC">
        <w:rPr>
          <w:rStyle w:val="Emphasis"/>
          <w:rFonts w:ascii="Palatino Linotype" w:hAnsi="Palatino Linotype"/>
          <w:sz w:val="20"/>
          <w:szCs w:val="20"/>
        </w:rPr>
        <w:t>must </w:t>
      </w:r>
      <w:r w:rsidRPr="000A24EC">
        <w:rPr>
          <w:rFonts w:ascii="Palatino Linotype" w:hAnsi="Palatino Linotype"/>
          <w:sz w:val="20"/>
          <w:szCs w:val="20"/>
        </w:rPr>
        <w:t>investigate and then, if convinced that the election was too fraught with risk of fraud to be properly certified, exercise their prerogative to legislatively designate a slate of electors.</w:t>
      </w:r>
    </w:p>
    <w:sectPr w:rsidR="00A72670" w:rsidRPr="000A24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0BE8" w14:textId="77777777" w:rsidR="00B854A4" w:rsidRDefault="00B854A4" w:rsidP="000E2F1A">
      <w:r>
        <w:separator/>
      </w:r>
    </w:p>
  </w:endnote>
  <w:endnote w:type="continuationSeparator" w:id="0">
    <w:p w14:paraId="62225465" w14:textId="77777777" w:rsidR="00B854A4" w:rsidRDefault="00B854A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40BBC3D9"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772B" w14:textId="77777777" w:rsidR="00B854A4" w:rsidRDefault="00B854A4" w:rsidP="000E2F1A">
      <w:r>
        <w:separator/>
      </w:r>
    </w:p>
  </w:footnote>
  <w:footnote w:type="continuationSeparator" w:id="0">
    <w:p w14:paraId="00712E8B" w14:textId="77777777" w:rsidR="00B854A4" w:rsidRDefault="00B854A4"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361878">
    <w:abstractNumId w:val="6"/>
  </w:num>
  <w:num w:numId="2" w16cid:durableId="1296175697">
    <w:abstractNumId w:val="8"/>
  </w:num>
  <w:num w:numId="3" w16cid:durableId="919405096">
    <w:abstractNumId w:val="7"/>
  </w:num>
  <w:num w:numId="4" w16cid:durableId="999847242">
    <w:abstractNumId w:val="0"/>
  </w:num>
  <w:num w:numId="5" w16cid:durableId="48186437">
    <w:abstractNumId w:val="5"/>
  </w:num>
  <w:num w:numId="6" w16cid:durableId="1959408210">
    <w:abstractNumId w:val="1"/>
  </w:num>
  <w:num w:numId="7" w16cid:durableId="426972031">
    <w:abstractNumId w:val="3"/>
  </w:num>
  <w:num w:numId="8" w16cid:durableId="478693602">
    <w:abstractNumId w:val="2"/>
  </w:num>
  <w:num w:numId="9" w16cid:durableId="609705976">
    <w:abstractNumId w:val="10"/>
  </w:num>
  <w:num w:numId="10" w16cid:durableId="567227205">
    <w:abstractNumId w:val="4"/>
  </w:num>
  <w:num w:numId="11" w16cid:durableId="718670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A24EC"/>
    <w:rsid w:val="000A48A8"/>
    <w:rsid w:val="000B1156"/>
    <w:rsid w:val="000B6378"/>
    <w:rsid w:val="000E0C08"/>
    <w:rsid w:val="000E131E"/>
    <w:rsid w:val="000E2F1A"/>
    <w:rsid w:val="000E3C2C"/>
    <w:rsid w:val="000F2A87"/>
    <w:rsid w:val="00101523"/>
    <w:rsid w:val="001246B5"/>
    <w:rsid w:val="0012610F"/>
    <w:rsid w:val="00134F55"/>
    <w:rsid w:val="001425A9"/>
    <w:rsid w:val="00175124"/>
    <w:rsid w:val="0017537B"/>
    <w:rsid w:val="0018016F"/>
    <w:rsid w:val="00181B8E"/>
    <w:rsid w:val="001961FA"/>
    <w:rsid w:val="001C776D"/>
    <w:rsid w:val="001E22FB"/>
    <w:rsid w:val="00200749"/>
    <w:rsid w:val="002020F3"/>
    <w:rsid w:val="00206796"/>
    <w:rsid w:val="00216A29"/>
    <w:rsid w:val="002229D5"/>
    <w:rsid w:val="00242356"/>
    <w:rsid w:val="00255F82"/>
    <w:rsid w:val="002833A8"/>
    <w:rsid w:val="002A2CA7"/>
    <w:rsid w:val="002B2D6D"/>
    <w:rsid w:val="002B4756"/>
    <w:rsid w:val="002B619F"/>
    <w:rsid w:val="002D4D48"/>
    <w:rsid w:val="002F1231"/>
    <w:rsid w:val="00320745"/>
    <w:rsid w:val="003207CD"/>
    <w:rsid w:val="00322694"/>
    <w:rsid w:val="0035045D"/>
    <w:rsid w:val="00361A70"/>
    <w:rsid w:val="00361F18"/>
    <w:rsid w:val="00362983"/>
    <w:rsid w:val="0037216A"/>
    <w:rsid w:val="00386388"/>
    <w:rsid w:val="0039172F"/>
    <w:rsid w:val="00393A7B"/>
    <w:rsid w:val="003A417B"/>
    <w:rsid w:val="003D6996"/>
    <w:rsid w:val="003E4351"/>
    <w:rsid w:val="003F2081"/>
    <w:rsid w:val="003F2AAD"/>
    <w:rsid w:val="003F5A0C"/>
    <w:rsid w:val="00467D49"/>
    <w:rsid w:val="004A498D"/>
    <w:rsid w:val="004D4A13"/>
    <w:rsid w:val="004F7FE7"/>
    <w:rsid w:val="00511665"/>
    <w:rsid w:val="00530FC0"/>
    <w:rsid w:val="005326BD"/>
    <w:rsid w:val="00536FAB"/>
    <w:rsid w:val="00540DE2"/>
    <w:rsid w:val="00550B3E"/>
    <w:rsid w:val="0055760A"/>
    <w:rsid w:val="00587EE1"/>
    <w:rsid w:val="00595709"/>
    <w:rsid w:val="005B0C8B"/>
    <w:rsid w:val="005D29B2"/>
    <w:rsid w:val="005D47EF"/>
    <w:rsid w:val="005D4895"/>
    <w:rsid w:val="005E213F"/>
    <w:rsid w:val="005F1752"/>
    <w:rsid w:val="005F68A3"/>
    <w:rsid w:val="00622CF5"/>
    <w:rsid w:val="00642624"/>
    <w:rsid w:val="00654628"/>
    <w:rsid w:val="00682FE5"/>
    <w:rsid w:val="00683143"/>
    <w:rsid w:val="006A1915"/>
    <w:rsid w:val="006B12B5"/>
    <w:rsid w:val="006C29DC"/>
    <w:rsid w:val="006E2465"/>
    <w:rsid w:val="006F0860"/>
    <w:rsid w:val="00700E02"/>
    <w:rsid w:val="00715EF2"/>
    <w:rsid w:val="0074150D"/>
    <w:rsid w:val="007517E4"/>
    <w:rsid w:val="00760447"/>
    <w:rsid w:val="00775796"/>
    <w:rsid w:val="00793EE2"/>
    <w:rsid w:val="007D05FD"/>
    <w:rsid w:val="00812183"/>
    <w:rsid w:val="00834F09"/>
    <w:rsid w:val="00835B93"/>
    <w:rsid w:val="00844369"/>
    <w:rsid w:val="0085768E"/>
    <w:rsid w:val="00867378"/>
    <w:rsid w:val="00871CB2"/>
    <w:rsid w:val="008A1F53"/>
    <w:rsid w:val="008A26B4"/>
    <w:rsid w:val="008A2D5E"/>
    <w:rsid w:val="008B562D"/>
    <w:rsid w:val="008C1488"/>
    <w:rsid w:val="008F4E23"/>
    <w:rsid w:val="00945E84"/>
    <w:rsid w:val="00954C68"/>
    <w:rsid w:val="00976265"/>
    <w:rsid w:val="009A5D76"/>
    <w:rsid w:val="009B27B0"/>
    <w:rsid w:val="009C1402"/>
    <w:rsid w:val="009D62AD"/>
    <w:rsid w:val="00A20043"/>
    <w:rsid w:val="00A62C6F"/>
    <w:rsid w:val="00A65F55"/>
    <w:rsid w:val="00A71257"/>
    <w:rsid w:val="00A72670"/>
    <w:rsid w:val="00A821F1"/>
    <w:rsid w:val="00AB0657"/>
    <w:rsid w:val="00AC7C58"/>
    <w:rsid w:val="00B10D26"/>
    <w:rsid w:val="00B155B1"/>
    <w:rsid w:val="00B3362B"/>
    <w:rsid w:val="00B47123"/>
    <w:rsid w:val="00B63D94"/>
    <w:rsid w:val="00B73345"/>
    <w:rsid w:val="00B854A4"/>
    <w:rsid w:val="00B9406A"/>
    <w:rsid w:val="00BA49AE"/>
    <w:rsid w:val="00BE396A"/>
    <w:rsid w:val="00BF151E"/>
    <w:rsid w:val="00C04042"/>
    <w:rsid w:val="00C04969"/>
    <w:rsid w:val="00C64673"/>
    <w:rsid w:val="00CC3C14"/>
    <w:rsid w:val="00CC59BB"/>
    <w:rsid w:val="00CD0261"/>
    <w:rsid w:val="00CD5307"/>
    <w:rsid w:val="00D1194F"/>
    <w:rsid w:val="00D11C43"/>
    <w:rsid w:val="00D170DC"/>
    <w:rsid w:val="00D50554"/>
    <w:rsid w:val="00D65425"/>
    <w:rsid w:val="00D936EC"/>
    <w:rsid w:val="00DA3144"/>
    <w:rsid w:val="00DA6F58"/>
    <w:rsid w:val="00DE6176"/>
    <w:rsid w:val="00E07D27"/>
    <w:rsid w:val="00E477F2"/>
    <w:rsid w:val="00E53402"/>
    <w:rsid w:val="00E65009"/>
    <w:rsid w:val="00E74ACD"/>
    <w:rsid w:val="00EA6812"/>
    <w:rsid w:val="00EB6FF6"/>
    <w:rsid w:val="00EC1EF1"/>
    <w:rsid w:val="00EC26F1"/>
    <w:rsid w:val="00ED3666"/>
    <w:rsid w:val="00ED74A1"/>
    <w:rsid w:val="00EE2339"/>
    <w:rsid w:val="00EE78D4"/>
    <w:rsid w:val="00F212B3"/>
    <w:rsid w:val="00F3208A"/>
    <w:rsid w:val="00F33A74"/>
    <w:rsid w:val="00F50832"/>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3FF26-676A-47F6-8598-139DCE9A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8</cp:revision>
  <dcterms:created xsi:type="dcterms:W3CDTF">2022-06-22T21:53:00Z</dcterms:created>
  <dcterms:modified xsi:type="dcterms:W3CDTF">2023-01-26T16:48:00Z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2023-01-26T16:46:55Z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c854fa21-d236-4738-9b29-4d4e6b1803a2</vt:lpwstr>
  </property>
  <property fmtid="{D5CDD505-2E9C-101B-9397-08002B2CF9AE}" pid="8" name="MSIP_Label_be5cb09a-2992-49d6-8ac9-5f63e7b1ad2f_ContentBits">
    <vt:lpwstr>0</vt:lpwstr>
  </property>
</Properties>
</file>