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A005" w14:textId="77777777" w:rsidR="00074848" w:rsidRPr="007E1051" w:rsidRDefault="002F64CB" w:rsidP="00D82926">
      <w:pPr>
        <w:spacing w:after="0" w:line="240" w:lineRule="auto"/>
        <w:jc w:val="center"/>
        <w:rPr>
          <w:rFonts w:ascii="Palatino Linotype" w:hAnsi="Palatino Linotype"/>
          <w:sz w:val="20"/>
          <w:szCs w:val="20"/>
        </w:rPr>
      </w:pPr>
      <w:r w:rsidRPr="007E1051">
        <w:rPr>
          <w:rFonts w:ascii="Palatino Linotype" w:hAnsi="Palatino Linotype"/>
          <w:sz w:val="20"/>
          <w:szCs w:val="20"/>
        </w:rPr>
        <w:t>AMERICAN CONSTITUTIONALISM</w:t>
      </w:r>
    </w:p>
    <w:p w14:paraId="0F79CF9D" w14:textId="77777777" w:rsidR="00074848" w:rsidRPr="007E1051" w:rsidRDefault="002F64CB" w:rsidP="00D82926">
      <w:pPr>
        <w:spacing w:after="0" w:line="240" w:lineRule="auto"/>
        <w:jc w:val="center"/>
        <w:rPr>
          <w:rFonts w:ascii="Palatino Linotype" w:hAnsi="Palatino Linotype"/>
          <w:sz w:val="20"/>
          <w:szCs w:val="20"/>
        </w:rPr>
      </w:pPr>
      <w:r w:rsidRPr="007E1051">
        <w:rPr>
          <w:rFonts w:ascii="Palatino Linotype" w:hAnsi="Palatino Linotype"/>
          <w:sz w:val="20"/>
          <w:szCs w:val="20"/>
        </w:rPr>
        <w:t>VOLUME I:</w:t>
      </w:r>
      <w:r w:rsidR="006C488C" w:rsidRPr="007E1051">
        <w:rPr>
          <w:rFonts w:ascii="Palatino Linotype" w:hAnsi="Palatino Linotype"/>
          <w:sz w:val="20"/>
          <w:szCs w:val="20"/>
        </w:rPr>
        <w:t xml:space="preserve"> </w:t>
      </w:r>
      <w:r w:rsidRPr="007E1051">
        <w:rPr>
          <w:rFonts w:ascii="Palatino Linotype" w:hAnsi="Palatino Linotype"/>
          <w:sz w:val="20"/>
          <w:szCs w:val="20"/>
        </w:rPr>
        <w:t>STRUCTURES OF GOVERNMENT</w:t>
      </w:r>
    </w:p>
    <w:p w14:paraId="4F1E6DCF" w14:textId="77777777" w:rsidR="00074848" w:rsidRPr="007E1051" w:rsidRDefault="002F64CB" w:rsidP="00D82926">
      <w:pPr>
        <w:spacing w:after="0" w:line="240" w:lineRule="auto"/>
        <w:jc w:val="center"/>
        <w:rPr>
          <w:rFonts w:ascii="Palatino Linotype" w:hAnsi="Palatino Linotype"/>
          <w:sz w:val="20"/>
          <w:szCs w:val="20"/>
        </w:rPr>
      </w:pPr>
      <w:r w:rsidRPr="007E1051">
        <w:rPr>
          <w:rFonts w:ascii="Palatino Linotype" w:hAnsi="Palatino Linotype"/>
          <w:sz w:val="20"/>
          <w:szCs w:val="20"/>
        </w:rPr>
        <w:t>Howard Gillman • Mark A. Graber • Keith E. Whittington</w:t>
      </w:r>
    </w:p>
    <w:p w14:paraId="5D678BBE" w14:textId="77777777" w:rsidR="00074848" w:rsidRPr="007E1051" w:rsidRDefault="00074848" w:rsidP="00D82926">
      <w:pPr>
        <w:spacing w:after="0" w:line="240" w:lineRule="auto"/>
        <w:jc w:val="center"/>
        <w:rPr>
          <w:rFonts w:ascii="Palatino Linotype" w:hAnsi="Palatino Linotype"/>
          <w:sz w:val="20"/>
          <w:szCs w:val="20"/>
        </w:rPr>
      </w:pPr>
    </w:p>
    <w:p w14:paraId="6868E74A" w14:textId="77777777" w:rsidR="00074848" w:rsidRPr="007E1051" w:rsidRDefault="002F64CB" w:rsidP="00D82926">
      <w:pPr>
        <w:spacing w:after="0" w:line="240" w:lineRule="auto"/>
        <w:jc w:val="center"/>
        <w:rPr>
          <w:rFonts w:ascii="Palatino Linotype" w:hAnsi="Palatino Linotype"/>
          <w:sz w:val="20"/>
          <w:szCs w:val="20"/>
        </w:rPr>
      </w:pPr>
      <w:r w:rsidRPr="007E1051">
        <w:rPr>
          <w:rFonts w:ascii="Palatino Linotype" w:hAnsi="Palatino Linotype"/>
          <w:sz w:val="20"/>
          <w:szCs w:val="20"/>
        </w:rPr>
        <w:t>Supplementary Material</w:t>
      </w:r>
    </w:p>
    <w:p w14:paraId="1B7DF7F9" w14:textId="77777777" w:rsidR="00074848" w:rsidRPr="007E1051" w:rsidRDefault="00074848" w:rsidP="00D82926">
      <w:pPr>
        <w:spacing w:after="0" w:line="240" w:lineRule="auto"/>
        <w:jc w:val="center"/>
        <w:rPr>
          <w:rFonts w:ascii="Palatino Linotype" w:hAnsi="Palatino Linotype"/>
          <w:sz w:val="20"/>
          <w:szCs w:val="20"/>
        </w:rPr>
      </w:pPr>
    </w:p>
    <w:p w14:paraId="4A9EC91F" w14:textId="77777777" w:rsidR="00074848" w:rsidRPr="007E1051" w:rsidRDefault="00E8070F" w:rsidP="00D82926">
      <w:pPr>
        <w:spacing w:after="0" w:line="240" w:lineRule="auto"/>
        <w:jc w:val="center"/>
        <w:rPr>
          <w:rFonts w:ascii="Palatino Linotype" w:hAnsi="Palatino Linotype"/>
          <w:sz w:val="20"/>
          <w:szCs w:val="20"/>
        </w:rPr>
      </w:pPr>
      <w:r w:rsidRPr="007E1051">
        <w:rPr>
          <w:rFonts w:ascii="Palatino Linotype" w:hAnsi="Palatino Linotype"/>
          <w:sz w:val="20"/>
          <w:szCs w:val="20"/>
        </w:rPr>
        <w:t xml:space="preserve">Chapter </w:t>
      </w:r>
      <w:r w:rsidR="00BA0A2F" w:rsidRPr="007E1051">
        <w:rPr>
          <w:rFonts w:ascii="Palatino Linotype" w:hAnsi="Palatino Linotype"/>
          <w:sz w:val="20"/>
          <w:szCs w:val="20"/>
        </w:rPr>
        <w:t>12</w:t>
      </w:r>
      <w:r w:rsidRPr="007E1051">
        <w:rPr>
          <w:rFonts w:ascii="Palatino Linotype" w:hAnsi="Palatino Linotype"/>
          <w:sz w:val="20"/>
          <w:szCs w:val="20"/>
        </w:rPr>
        <w:t xml:space="preserve">: The </w:t>
      </w:r>
      <w:r w:rsidR="00BA0A2F" w:rsidRPr="007E1051">
        <w:rPr>
          <w:rFonts w:ascii="Palatino Linotype" w:hAnsi="Palatino Linotype"/>
          <w:sz w:val="20"/>
          <w:szCs w:val="20"/>
        </w:rPr>
        <w:t>Contemporary</w:t>
      </w:r>
      <w:r w:rsidRPr="007E1051">
        <w:rPr>
          <w:rFonts w:ascii="Palatino Linotype" w:hAnsi="Palatino Linotype"/>
          <w:sz w:val="20"/>
          <w:szCs w:val="20"/>
        </w:rPr>
        <w:t xml:space="preserve"> Era – Separation of Powers</w:t>
      </w:r>
      <w:r w:rsidR="00BA0A2F" w:rsidRPr="007E1051">
        <w:rPr>
          <w:rFonts w:ascii="Palatino Linotype" w:hAnsi="Palatino Linotype"/>
          <w:sz w:val="20"/>
          <w:szCs w:val="20"/>
        </w:rPr>
        <w:t>/Presidential War and Foreign Affairs Powers</w:t>
      </w:r>
    </w:p>
    <w:p w14:paraId="489696E8" w14:textId="77777777" w:rsidR="00074848" w:rsidRPr="007E1051" w:rsidRDefault="00074848" w:rsidP="00D82926">
      <w:pPr>
        <w:spacing w:after="0" w:line="240" w:lineRule="auto"/>
        <w:jc w:val="center"/>
        <w:rPr>
          <w:rFonts w:ascii="Palatino Linotype" w:hAnsi="Palatino Linotype"/>
          <w:sz w:val="20"/>
          <w:szCs w:val="20"/>
        </w:rPr>
      </w:pPr>
    </w:p>
    <w:p w14:paraId="54282AA8" w14:textId="77777777" w:rsidR="00074848" w:rsidRPr="007E1051" w:rsidRDefault="00074848" w:rsidP="00D82926">
      <w:pPr>
        <w:spacing w:after="0" w:line="240" w:lineRule="auto"/>
        <w:jc w:val="center"/>
        <w:rPr>
          <w:rFonts w:ascii="Palatino Linotype" w:hAnsi="Palatino Linotype"/>
          <w:sz w:val="20"/>
          <w:szCs w:val="20"/>
        </w:rPr>
      </w:pPr>
    </w:p>
    <w:p w14:paraId="23F949D9" w14:textId="77777777" w:rsidR="00074848" w:rsidRPr="007E1051" w:rsidRDefault="00E8070F" w:rsidP="00D82926">
      <w:pPr>
        <w:pBdr>
          <w:top w:val="single" w:sz="4" w:space="5" w:color="auto"/>
          <w:bottom w:val="single" w:sz="4" w:space="5" w:color="auto"/>
        </w:pBdr>
        <w:spacing w:after="0" w:line="240" w:lineRule="auto"/>
        <w:jc w:val="center"/>
        <w:rPr>
          <w:rFonts w:ascii="Palatino Linotype" w:hAnsi="Palatino Linotype"/>
          <w:sz w:val="20"/>
          <w:szCs w:val="20"/>
        </w:rPr>
      </w:pPr>
      <w:bookmarkStart w:id="0" w:name="_Hlk107758977"/>
      <w:r w:rsidRPr="007E1051">
        <w:rPr>
          <w:rFonts w:ascii="Palatino Linotype" w:hAnsi="Palatino Linotype"/>
          <w:b/>
          <w:sz w:val="20"/>
          <w:szCs w:val="20"/>
        </w:rPr>
        <w:t xml:space="preserve">United States v. </w:t>
      </w:r>
      <w:proofErr w:type="spellStart"/>
      <w:r w:rsidR="00BA0A2F" w:rsidRPr="007E1051">
        <w:rPr>
          <w:rFonts w:ascii="Palatino Linotype" w:hAnsi="Palatino Linotype"/>
          <w:b/>
          <w:sz w:val="20"/>
          <w:szCs w:val="20"/>
        </w:rPr>
        <w:t>Zubaydah</w:t>
      </w:r>
      <w:bookmarkEnd w:id="0"/>
      <w:proofErr w:type="spellEnd"/>
      <w:r w:rsidRPr="007E1051">
        <w:rPr>
          <w:rFonts w:ascii="Palatino Linotype" w:hAnsi="Palatino Linotype"/>
          <w:b/>
          <w:sz w:val="20"/>
          <w:szCs w:val="20"/>
        </w:rPr>
        <w:t xml:space="preserve">, </w:t>
      </w:r>
      <w:r w:rsidR="00BA0A2F" w:rsidRPr="007E1051">
        <w:rPr>
          <w:rFonts w:ascii="Palatino Linotype" w:hAnsi="Palatino Linotype"/>
          <w:b/>
          <w:sz w:val="20"/>
          <w:szCs w:val="20"/>
        </w:rPr>
        <w:t>__</w:t>
      </w:r>
      <w:r w:rsidRPr="007E1051">
        <w:rPr>
          <w:rFonts w:ascii="Palatino Linotype" w:hAnsi="Palatino Linotype"/>
          <w:b/>
          <w:sz w:val="20"/>
          <w:szCs w:val="20"/>
        </w:rPr>
        <w:t xml:space="preserve"> U.S. </w:t>
      </w:r>
      <w:r w:rsidR="00BA0A2F" w:rsidRPr="007E1051">
        <w:rPr>
          <w:rFonts w:ascii="Palatino Linotype" w:hAnsi="Palatino Linotype"/>
          <w:b/>
          <w:sz w:val="20"/>
          <w:szCs w:val="20"/>
        </w:rPr>
        <w:t>__</w:t>
      </w:r>
      <w:r w:rsidRPr="007E1051">
        <w:rPr>
          <w:rFonts w:ascii="Palatino Linotype" w:hAnsi="Palatino Linotype"/>
          <w:sz w:val="20"/>
          <w:szCs w:val="20"/>
        </w:rPr>
        <w:t xml:space="preserve"> (</w:t>
      </w:r>
      <w:r w:rsidR="00BA0A2F" w:rsidRPr="007E1051">
        <w:rPr>
          <w:rFonts w:ascii="Palatino Linotype" w:hAnsi="Palatino Linotype"/>
          <w:sz w:val="20"/>
          <w:szCs w:val="20"/>
        </w:rPr>
        <w:t>2022</w:t>
      </w:r>
      <w:r w:rsidRPr="007E1051">
        <w:rPr>
          <w:rFonts w:ascii="Palatino Linotype" w:hAnsi="Palatino Linotype"/>
          <w:sz w:val="20"/>
          <w:szCs w:val="20"/>
        </w:rPr>
        <w:t>)</w:t>
      </w:r>
    </w:p>
    <w:p w14:paraId="2D92C301" w14:textId="77777777" w:rsidR="00074848" w:rsidRPr="007E1051" w:rsidRDefault="00074848" w:rsidP="00D82926">
      <w:pPr>
        <w:spacing w:after="0" w:line="240" w:lineRule="auto"/>
        <w:jc w:val="both"/>
        <w:rPr>
          <w:rFonts w:ascii="Palatino Linotype" w:hAnsi="Palatino Linotype"/>
          <w:sz w:val="20"/>
          <w:szCs w:val="20"/>
        </w:rPr>
      </w:pPr>
    </w:p>
    <w:p w14:paraId="724FC78A" w14:textId="77777777" w:rsidR="00836F79" w:rsidRPr="007E1051" w:rsidRDefault="00DF7A85" w:rsidP="00BE298E">
      <w:pPr>
        <w:spacing w:after="0" w:line="240" w:lineRule="auto"/>
        <w:jc w:val="both"/>
        <w:rPr>
          <w:rFonts w:ascii="Palatino Linotype" w:hAnsi="Palatino Linotype"/>
          <w:i/>
          <w:sz w:val="20"/>
          <w:szCs w:val="20"/>
        </w:rPr>
      </w:pPr>
      <w:r w:rsidRPr="007E1051">
        <w:rPr>
          <w:rFonts w:ascii="Palatino Linotype" w:hAnsi="Palatino Linotype"/>
          <w:i/>
          <w:sz w:val="20"/>
          <w:szCs w:val="20"/>
        </w:rPr>
        <w:t xml:space="preserve">Abu </w:t>
      </w:r>
      <w:proofErr w:type="spellStart"/>
      <w:r w:rsidRPr="007E1051">
        <w:rPr>
          <w:rFonts w:ascii="Palatino Linotype" w:hAnsi="Palatino Linotype"/>
          <w:i/>
          <w:sz w:val="20"/>
          <w:szCs w:val="20"/>
        </w:rPr>
        <w:t>Zubaydah</w:t>
      </w:r>
      <w:proofErr w:type="spellEnd"/>
      <w:r w:rsidRPr="007E1051">
        <w:rPr>
          <w:rFonts w:ascii="Palatino Linotype" w:hAnsi="Palatino Linotype"/>
          <w:i/>
          <w:sz w:val="20"/>
          <w:szCs w:val="20"/>
        </w:rPr>
        <w:t xml:space="preserve"> was a detainee in Guantanamo Bay </w:t>
      </w:r>
      <w:proofErr w:type="gramStart"/>
      <w:r w:rsidRPr="007E1051">
        <w:rPr>
          <w:rFonts w:ascii="Palatino Linotype" w:hAnsi="Palatino Linotype"/>
          <w:i/>
          <w:sz w:val="20"/>
          <w:szCs w:val="20"/>
        </w:rPr>
        <w:t>as a result of</w:t>
      </w:r>
      <w:proofErr w:type="gramEnd"/>
      <w:r w:rsidRPr="007E1051">
        <w:rPr>
          <w:rFonts w:ascii="Palatino Linotype" w:hAnsi="Palatino Linotype"/>
          <w:i/>
          <w:sz w:val="20"/>
          <w:szCs w:val="20"/>
        </w:rPr>
        <w:t xml:space="preserve"> the War on Terror. </w:t>
      </w:r>
      <w:proofErr w:type="spellStart"/>
      <w:r w:rsidR="00836F79" w:rsidRPr="007E1051">
        <w:rPr>
          <w:rFonts w:ascii="Palatino Linotype" w:hAnsi="Palatino Linotype"/>
          <w:i/>
          <w:sz w:val="20"/>
          <w:szCs w:val="20"/>
        </w:rPr>
        <w:t>Zubaydah</w:t>
      </w:r>
      <w:proofErr w:type="spellEnd"/>
      <w:r w:rsidR="00836F79" w:rsidRPr="007E1051">
        <w:rPr>
          <w:rFonts w:ascii="Palatino Linotype" w:hAnsi="Palatino Linotype"/>
          <w:i/>
          <w:sz w:val="20"/>
          <w:szCs w:val="20"/>
        </w:rPr>
        <w:t xml:space="preserve"> was believed to be a senior figure in the al Qaeda terrorist group</w:t>
      </w:r>
      <w:r w:rsidR="0003691B" w:rsidRPr="007E1051">
        <w:rPr>
          <w:rFonts w:ascii="Palatino Linotype" w:hAnsi="Palatino Linotype"/>
          <w:i/>
          <w:sz w:val="20"/>
          <w:szCs w:val="20"/>
        </w:rPr>
        <w:t xml:space="preserve"> and his diary included his hopes of acquiring a nuclear weapon to be used against the United States</w:t>
      </w:r>
      <w:r w:rsidR="00836F79" w:rsidRPr="007E1051">
        <w:rPr>
          <w:rFonts w:ascii="Palatino Linotype" w:hAnsi="Palatino Linotype"/>
          <w:i/>
          <w:sz w:val="20"/>
          <w:szCs w:val="20"/>
        </w:rPr>
        <w:t>. He had been captured by Pakistani security forces in the months following 9/11 and handed over to the American Central Intelligence Agency. The CIA took him to detention facilities outside the United States and subjected him to “enhanced interrogation.”</w:t>
      </w:r>
      <w:r w:rsidR="0003691B" w:rsidRPr="007E1051">
        <w:rPr>
          <w:rFonts w:ascii="Palatino Linotype" w:hAnsi="Palatino Linotype"/>
          <w:i/>
          <w:sz w:val="20"/>
          <w:szCs w:val="20"/>
        </w:rPr>
        <w:t xml:space="preserve"> The CIA claimed that </w:t>
      </w:r>
      <w:proofErr w:type="spellStart"/>
      <w:r w:rsidR="0003691B" w:rsidRPr="007E1051">
        <w:rPr>
          <w:rFonts w:ascii="Palatino Linotype" w:hAnsi="Palatino Linotype"/>
          <w:i/>
          <w:sz w:val="20"/>
          <w:szCs w:val="20"/>
        </w:rPr>
        <w:t>Zubaydah</w:t>
      </w:r>
      <w:proofErr w:type="spellEnd"/>
      <w:r w:rsidR="0003691B" w:rsidRPr="007E1051">
        <w:rPr>
          <w:rFonts w:ascii="Palatino Linotype" w:hAnsi="Palatino Linotype"/>
          <w:i/>
          <w:sz w:val="20"/>
          <w:szCs w:val="20"/>
        </w:rPr>
        <w:t xml:space="preserve"> had divulged substantial information about al Qaeda’s leadership and operations. </w:t>
      </w:r>
      <w:r w:rsidR="00836F79" w:rsidRPr="007E1051">
        <w:rPr>
          <w:rFonts w:ascii="Palatino Linotype" w:hAnsi="Palatino Linotype"/>
          <w:i/>
          <w:sz w:val="20"/>
          <w:szCs w:val="20"/>
        </w:rPr>
        <w:t xml:space="preserve"> In 2006, he was transferred to Guantanamo Bay, the American naval base in Cuba.</w:t>
      </w:r>
      <w:r w:rsidR="009E3EED" w:rsidRPr="007E1051">
        <w:rPr>
          <w:rFonts w:ascii="Palatino Linotype" w:hAnsi="Palatino Linotype"/>
          <w:i/>
          <w:sz w:val="20"/>
          <w:szCs w:val="20"/>
        </w:rPr>
        <w:t xml:space="preserve"> A public Senate </w:t>
      </w:r>
      <w:proofErr w:type="gramStart"/>
      <w:r w:rsidR="009E3EED" w:rsidRPr="007E1051">
        <w:rPr>
          <w:rFonts w:ascii="Palatino Linotype" w:hAnsi="Palatino Linotype"/>
          <w:i/>
          <w:sz w:val="20"/>
          <w:szCs w:val="20"/>
        </w:rPr>
        <w:t>select</w:t>
      </w:r>
      <w:proofErr w:type="gramEnd"/>
      <w:r w:rsidR="009E3EED" w:rsidRPr="007E1051">
        <w:rPr>
          <w:rFonts w:ascii="Palatino Linotype" w:hAnsi="Palatino Linotype"/>
          <w:i/>
          <w:sz w:val="20"/>
          <w:szCs w:val="20"/>
        </w:rPr>
        <w:t xml:space="preserve"> committee report detailed </w:t>
      </w:r>
      <w:proofErr w:type="spellStart"/>
      <w:r w:rsidR="009E3EED" w:rsidRPr="007E1051">
        <w:rPr>
          <w:rFonts w:ascii="Palatino Linotype" w:hAnsi="Palatino Linotype"/>
          <w:i/>
          <w:sz w:val="20"/>
          <w:szCs w:val="20"/>
        </w:rPr>
        <w:t>Zubaydah’s</w:t>
      </w:r>
      <w:proofErr w:type="spellEnd"/>
      <w:r w:rsidR="009E3EED" w:rsidRPr="007E1051">
        <w:rPr>
          <w:rFonts w:ascii="Palatino Linotype" w:hAnsi="Palatino Linotype"/>
          <w:i/>
          <w:sz w:val="20"/>
          <w:szCs w:val="20"/>
        </w:rPr>
        <w:t xml:space="preserve"> treatment </w:t>
      </w:r>
      <w:r w:rsidR="00215B8A" w:rsidRPr="007E1051">
        <w:rPr>
          <w:rFonts w:ascii="Palatino Linotype" w:hAnsi="Palatino Linotype"/>
          <w:i/>
          <w:sz w:val="20"/>
          <w:szCs w:val="20"/>
        </w:rPr>
        <w:t>by the CIA, and a European Court of Human Rights report concluded that at one point he had been held in Poland. One of the CIA contractors involved in his interrogation subsequently published a book about his experience, and the government had allowed those contractors to testify in legal proceedings in the past.</w:t>
      </w:r>
    </w:p>
    <w:p w14:paraId="79A6F297" w14:textId="77777777" w:rsidR="00074848" w:rsidRPr="007E1051" w:rsidRDefault="00DF7A85" w:rsidP="00D82926">
      <w:pPr>
        <w:spacing w:after="0" w:line="240" w:lineRule="auto"/>
        <w:ind w:firstLine="720"/>
        <w:jc w:val="both"/>
        <w:rPr>
          <w:rFonts w:ascii="Palatino Linotype" w:hAnsi="Palatino Linotype"/>
          <w:i/>
          <w:sz w:val="20"/>
          <w:szCs w:val="20"/>
        </w:rPr>
      </w:pPr>
      <w:r w:rsidRPr="007E1051">
        <w:rPr>
          <w:rFonts w:ascii="Palatino Linotype" w:hAnsi="Palatino Linotype"/>
          <w:i/>
          <w:sz w:val="20"/>
          <w:szCs w:val="20"/>
        </w:rPr>
        <w:t xml:space="preserve">He was pursuing a </w:t>
      </w:r>
      <w:proofErr w:type="gramStart"/>
      <w:r w:rsidR="00836F79" w:rsidRPr="007E1051">
        <w:rPr>
          <w:rFonts w:ascii="Palatino Linotype" w:hAnsi="Palatino Linotype"/>
          <w:i/>
          <w:sz w:val="20"/>
          <w:szCs w:val="20"/>
        </w:rPr>
        <w:t>legal proceedings</w:t>
      </w:r>
      <w:proofErr w:type="gramEnd"/>
      <w:r w:rsidRPr="007E1051">
        <w:rPr>
          <w:rFonts w:ascii="Palatino Linotype" w:hAnsi="Palatino Linotype"/>
          <w:i/>
          <w:sz w:val="20"/>
          <w:szCs w:val="20"/>
        </w:rPr>
        <w:t xml:space="preserve"> in Poland regarding claims about how he was treated in a detention facility that was being run in that country by the </w:t>
      </w:r>
      <w:r w:rsidR="00836F79" w:rsidRPr="007E1051">
        <w:rPr>
          <w:rFonts w:ascii="Palatino Linotype" w:hAnsi="Palatino Linotype"/>
          <w:i/>
          <w:sz w:val="20"/>
          <w:szCs w:val="20"/>
        </w:rPr>
        <w:t>CIA</w:t>
      </w:r>
      <w:r w:rsidRPr="007E1051">
        <w:rPr>
          <w:rFonts w:ascii="Palatino Linotype" w:hAnsi="Palatino Linotype"/>
          <w:i/>
          <w:sz w:val="20"/>
          <w:szCs w:val="20"/>
        </w:rPr>
        <w:t xml:space="preserve"> in the years immediately following the 9/11 attacks. </w:t>
      </w:r>
      <w:proofErr w:type="gramStart"/>
      <w:r w:rsidRPr="007E1051">
        <w:rPr>
          <w:rFonts w:ascii="Palatino Linotype" w:hAnsi="Palatino Linotype"/>
          <w:i/>
          <w:sz w:val="20"/>
          <w:szCs w:val="20"/>
        </w:rPr>
        <w:t>In orde</w:t>
      </w:r>
      <w:r w:rsidR="00836F79" w:rsidRPr="007E1051">
        <w:rPr>
          <w:rFonts w:ascii="Palatino Linotype" w:hAnsi="Palatino Linotype"/>
          <w:i/>
          <w:sz w:val="20"/>
          <w:szCs w:val="20"/>
        </w:rPr>
        <w:t>r to</w:t>
      </w:r>
      <w:proofErr w:type="gramEnd"/>
      <w:r w:rsidR="00836F79" w:rsidRPr="007E1051">
        <w:rPr>
          <w:rFonts w:ascii="Palatino Linotype" w:hAnsi="Palatino Linotype"/>
          <w:i/>
          <w:sz w:val="20"/>
          <w:szCs w:val="20"/>
        </w:rPr>
        <w:t xml:space="preserve"> advance a Polish criminal investigation of possible human rights violations</w:t>
      </w:r>
      <w:r w:rsidRPr="007E1051">
        <w:rPr>
          <w:rFonts w:ascii="Palatino Linotype" w:hAnsi="Palatino Linotype"/>
          <w:i/>
          <w:sz w:val="20"/>
          <w:szCs w:val="20"/>
        </w:rPr>
        <w:t xml:space="preserve">, </w:t>
      </w:r>
      <w:r w:rsidR="00836F79" w:rsidRPr="007E1051">
        <w:rPr>
          <w:rFonts w:ascii="Palatino Linotype" w:hAnsi="Palatino Linotype"/>
          <w:i/>
          <w:sz w:val="20"/>
          <w:szCs w:val="20"/>
        </w:rPr>
        <w:t>his lawyers</w:t>
      </w:r>
      <w:r w:rsidRPr="007E1051">
        <w:rPr>
          <w:rFonts w:ascii="Palatino Linotype" w:hAnsi="Palatino Linotype"/>
          <w:i/>
          <w:sz w:val="20"/>
          <w:szCs w:val="20"/>
        </w:rPr>
        <w:t xml:space="preserve"> sought to subpoena two CIA contractors in order to get testimony regarding the facility and his detention. The federal government moved to block the subpoenas on the grounds of state secrets privilege and a concern that the testimony could damage national security. </w:t>
      </w:r>
      <w:r w:rsidR="00836F79" w:rsidRPr="007E1051">
        <w:rPr>
          <w:rFonts w:ascii="Palatino Linotype" w:hAnsi="Palatino Linotype"/>
          <w:i/>
          <w:sz w:val="20"/>
          <w:szCs w:val="20"/>
        </w:rPr>
        <w:t xml:space="preserve">The district court agreed with the government. </w:t>
      </w:r>
      <w:r w:rsidRPr="007E1051">
        <w:rPr>
          <w:rFonts w:ascii="Palatino Linotype" w:hAnsi="Palatino Linotype"/>
          <w:i/>
          <w:sz w:val="20"/>
          <w:szCs w:val="20"/>
        </w:rPr>
        <w:t xml:space="preserve">The court of appeals largely accepted that </w:t>
      </w:r>
      <w:proofErr w:type="gramStart"/>
      <w:r w:rsidRPr="007E1051">
        <w:rPr>
          <w:rFonts w:ascii="Palatino Linotype" w:hAnsi="Palatino Linotype"/>
          <w:i/>
          <w:sz w:val="20"/>
          <w:szCs w:val="20"/>
        </w:rPr>
        <w:t>privilege, but</w:t>
      </w:r>
      <w:proofErr w:type="gramEnd"/>
      <w:r w:rsidRPr="007E1051">
        <w:rPr>
          <w:rFonts w:ascii="Palatino Linotype" w:hAnsi="Palatino Linotype"/>
          <w:i/>
          <w:sz w:val="20"/>
          <w:szCs w:val="20"/>
        </w:rPr>
        <w:t xml:space="preserve"> did not think that </w:t>
      </w:r>
      <w:r w:rsidR="00E67F73" w:rsidRPr="007E1051">
        <w:rPr>
          <w:rFonts w:ascii="Palatino Linotype" w:hAnsi="Palatino Linotype"/>
          <w:i/>
          <w:sz w:val="20"/>
          <w:szCs w:val="20"/>
        </w:rPr>
        <w:t>some details regarding</w:t>
      </w:r>
      <w:r w:rsidRPr="007E1051">
        <w:rPr>
          <w:rFonts w:ascii="Palatino Linotype" w:hAnsi="Palatino Linotype"/>
          <w:i/>
          <w:sz w:val="20"/>
          <w:szCs w:val="20"/>
        </w:rPr>
        <w:t xml:space="preserve"> the detention site could </w:t>
      </w:r>
      <w:r w:rsidR="00E67F73" w:rsidRPr="007E1051">
        <w:rPr>
          <w:rFonts w:ascii="Palatino Linotype" w:hAnsi="Palatino Linotype"/>
          <w:i/>
          <w:sz w:val="20"/>
          <w:szCs w:val="20"/>
        </w:rPr>
        <w:t xml:space="preserve">not </w:t>
      </w:r>
      <w:r w:rsidRPr="007E1051">
        <w:rPr>
          <w:rFonts w:ascii="Palatino Linotype" w:hAnsi="Palatino Linotype"/>
          <w:i/>
          <w:sz w:val="20"/>
          <w:szCs w:val="20"/>
        </w:rPr>
        <w:t xml:space="preserve">be covered by the privilege since that information had already </w:t>
      </w:r>
      <w:r w:rsidR="00836F79" w:rsidRPr="007E1051">
        <w:rPr>
          <w:rFonts w:ascii="Palatino Linotype" w:hAnsi="Palatino Linotype"/>
          <w:i/>
          <w:sz w:val="20"/>
          <w:szCs w:val="20"/>
        </w:rPr>
        <w:t>become public knowledge (though the CIA had never confirmed those public reports).</w:t>
      </w:r>
      <w:r w:rsidR="00F82F2B" w:rsidRPr="007E1051">
        <w:rPr>
          <w:rFonts w:ascii="Palatino Linotype" w:hAnsi="Palatino Linotype"/>
          <w:i/>
          <w:sz w:val="20"/>
          <w:szCs w:val="20"/>
        </w:rPr>
        <w:t xml:space="preserve"> In a 6-3 decision, the Supreme Court reversed the circuit court, holding that the subpoena should be quashed. The case generated not only dissents arguing for a loosening of the state secrets doctrine, but also concurring opinions arguing </w:t>
      </w:r>
      <w:r w:rsidR="00DE2C5B" w:rsidRPr="007E1051">
        <w:rPr>
          <w:rFonts w:ascii="Palatino Linotype" w:hAnsi="Palatino Linotype"/>
          <w:i/>
          <w:sz w:val="20"/>
          <w:szCs w:val="20"/>
        </w:rPr>
        <w:t>that the majority opinion had already loosened the doctrine too much. Note as well that the concurring opinions were written by four of the conservative justices</w:t>
      </w:r>
      <w:r w:rsidR="009E3EED" w:rsidRPr="007E1051">
        <w:rPr>
          <w:rFonts w:ascii="Palatino Linotype" w:hAnsi="Palatino Linotype"/>
          <w:i/>
          <w:sz w:val="20"/>
          <w:szCs w:val="20"/>
        </w:rPr>
        <w:t>, but the full dissent was drafted by the conservative Justice Gorsuch and joined by the Court’s most liberal member, Justice Sotomayor.</w:t>
      </w:r>
    </w:p>
    <w:p w14:paraId="14B575A2" w14:textId="77777777" w:rsidR="00074848" w:rsidRPr="007E1051" w:rsidRDefault="00074848" w:rsidP="00D82926">
      <w:pPr>
        <w:spacing w:after="0" w:line="240" w:lineRule="auto"/>
        <w:jc w:val="both"/>
        <w:rPr>
          <w:rFonts w:ascii="Palatino Linotype" w:hAnsi="Palatino Linotype"/>
          <w:sz w:val="20"/>
          <w:szCs w:val="20"/>
        </w:rPr>
      </w:pPr>
    </w:p>
    <w:p w14:paraId="106E7530" w14:textId="77777777" w:rsidR="00074848" w:rsidRPr="007E1051" w:rsidRDefault="00E8070F" w:rsidP="00D82926">
      <w:pPr>
        <w:spacing w:after="0" w:line="240" w:lineRule="auto"/>
        <w:jc w:val="both"/>
        <w:rPr>
          <w:rFonts w:ascii="Palatino Linotype" w:hAnsi="Palatino Linotype"/>
          <w:sz w:val="20"/>
          <w:szCs w:val="20"/>
        </w:rPr>
      </w:pPr>
      <w:r w:rsidRPr="007E1051">
        <w:rPr>
          <w:rFonts w:ascii="Palatino Linotype" w:hAnsi="Palatino Linotype"/>
          <w:sz w:val="20"/>
          <w:szCs w:val="20"/>
        </w:rPr>
        <w:t xml:space="preserve">JUSTICE </w:t>
      </w:r>
      <w:r w:rsidR="00244B68" w:rsidRPr="007E1051">
        <w:rPr>
          <w:rFonts w:ascii="Palatino Linotype" w:hAnsi="Palatino Linotype"/>
          <w:sz w:val="20"/>
          <w:szCs w:val="20"/>
        </w:rPr>
        <w:t>BREYER</w:t>
      </w:r>
      <w:r w:rsidRPr="007E1051">
        <w:rPr>
          <w:rFonts w:ascii="Palatino Linotype" w:hAnsi="Palatino Linotype"/>
          <w:sz w:val="20"/>
          <w:szCs w:val="20"/>
        </w:rPr>
        <w:t xml:space="preserve"> delivered the opinion of the Court.</w:t>
      </w:r>
    </w:p>
    <w:p w14:paraId="789261CA" w14:textId="77777777" w:rsidR="00074848" w:rsidRPr="007E1051" w:rsidRDefault="00074848" w:rsidP="00D82926">
      <w:pPr>
        <w:spacing w:after="0" w:line="240" w:lineRule="auto"/>
        <w:ind w:firstLine="720"/>
        <w:jc w:val="both"/>
        <w:rPr>
          <w:rFonts w:ascii="Palatino Linotype" w:hAnsi="Palatino Linotype"/>
          <w:sz w:val="20"/>
          <w:szCs w:val="20"/>
        </w:rPr>
      </w:pPr>
    </w:p>
    <w:p w14:paraId="22BE7ACB" w14:textId="77777777" w:rsidR="00074848" w:rsidRPr="007E1051" w:rsidRDefault="00E8070F" w:rsidP="00D82926">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007993B1"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The state secrets privilege permits the Government to prevent disclosure of information when that disclosure would harm national security interests. </w:t>
      </w:r>
      <w:r w:rsidRPr="007E1051">
        <w:rPr>
          <w:rFonts w:ascii="Palatino Linotype" w:hAnsi="Palatino Linotype"/>
          <w:i/>
          <w:sz w:val="20"/>
          <w:szCs w:val="20"/>
        </w:rPr>
        <w:t>United States v. Reynolds</w:t>
      </w:r>
      <w:r w:rsidRPr="007E1051">
        <w:rPr>
          <w:rFonts w:ascii="Palatino Linotype" w:hAnsi="Palatino Linotype"/>
          <w:sz w:val="20"/>
          <w:szCs w:val="20"/>
        </w:rPr>
        <w:t xml:space="preserve"> (1953). </w:t>
      </w:r>
    </w:p>
    <w:p w14:paraId="5323ADE3"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1AD2CD56"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Because any response to </w:t>
      </w:r>
      <w:proofErr w:type="spellStart"/>
      <w:r w:rsidRPr="007E1051">
        <w:rPr>
          <w:rFonts w:ascii="Palatino Linotype" w:hAnsi="Palatino Linotype"/>
          <w:sz w:val="20"/>
          <w:szCs w:val="20"/>
        </w:rPr>
        <w:t>Zubaydah’s</w:t>
      </w:r>
      <w:proofErr w:type="spellEnd"/>
      <w:r w:rsidRPr="007E1051">
        <w:rPr>
          <w:rFonts w:ascii="Palatino Linotype" w:hAnsi="Palatino Linotype"/>
          <w:sz w:val="20"/>
          <w:szCs w:val="20"/>
        </w:rPr>
        <w:t xml:space="preserve"> subpoenas allowed by the Ninth Circuit’s decision will have the effect of confirmation or denial (by the Government or its former contractors) of the existence of a CIA facility in Poland, the primary question for us must be whether the existence (or non-existence) of a CIA </w:t>
      </w:r>
      <w:r w:rsidRPr="007E1051">
        <w:rPr>
          <w:rFonts w:ascii="Palatino Linotype" w:hAnsi="Palatino Linotype"/>
          <w:sz w:val="20"/>
          <w:szCs w:val="20"/>
        </w:rPr>
        <w:lastRenderedPageBreak/>
        <w:t xml:space="preserve">detention facility in Poland falls within the scope of the state secrets privilege. </w:t>
      </w:r>
      <w:proofErr w:type="gramStart"/>
      <w:r w:rsidRPr="007E1051">
        <w:rPr>
          <w:rFonts w:ascii="Palatino Linotype" w:hAnsi="Palatino Linotype"/>
          <w:sz w:val="20"/>
          <w:szCs w:val="20"/>
        </w:rPr>
        <w:t>For the reasons that</w:t>
      </w:r>
      <w:proofErr w:type="gramEnd"/>
      <w:r w:rsidRPr="007E1051">
        <w:rPr>
          <w:rFonts w:ascii="Palatino Linotype" w:hAnsi="Palatino Linotype"/>
          <w:sz w:val="20"/>
          <w:szCs w:val="20"/>
        </w:rPr>
        <w:t xml:space="preserve"> follow, we conclude that it does.</w:t>
      </w:r>
    </w:p>
    <w:p w14:paraId="241C2274"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We agree with the Government that sometimes information that has entered the public domain may nonetheless fall within the scope of the state secrets privilege</w:t>
      </w:r>
      <w:proofErr w:type="gramStart"/>
      <w:r w:rsidRPr="007E1051">
        <w:rPr>
          <w:rFonts w:ascii="Palatino Linotype" w:hAnsi="Palatino Linotype"/>
          <w:sz w:val="20"/>
          <w:szCs w:val="20"/>
        </w:rPr>
        <w:t>. . . .</w:t>
      </w:r>
      <w:proofErr w:type="gramEnd"/>
    </w:p>
    <w:p w14:paraId="6662772F"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6A832502"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In a word, to confirm publicly the existence of a CIA site in Country A, can diminish the extent to which the intelligence services of Countries A, B, C, D, etc., will prove willing to cooperate with our own intelligence services in the future.</w:t>
      </w:r>
    </w:p>
    <w:p w14:paraId="442F9CE3"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It stands to reason that a former CIA insider’s confirmation of confidential cooperation between the CIA and a foreign intelligence service could damage the CIA’s clandestine relationships with foreign authorities. Confirmation by such an insider is different in kind from speculation in the press or even by foreign courts because it leaves virtually no doubt as to the veracity of th</w:t>
      </w:r>
      <w:r w:rsidR="00D2167C" w:rsidRPr="007E1051">
        <w:rPr>
          <w:rFonts w:ascii="Palatino Linotype" w:hAnsi="Palatino Linotype"/>
          <w:sz w:val="20"/>
          <w:szCs w:val="20"/>
        </w:rPr>
        <w:t>e information that has been con</w:t>
      </w:r>
      <w:r w:rsidRPr="007E1051">
        <w:rPr>
          <w:rFonts w:ascii="Palatino Linotype" w:hAnsi="Palatino Linotype"/>
          <w:sz w:val="20"/>
          <w:szCs w:val="20"/>
        </w:rPr>
        <w:t>firmed. And there is ample reason to think that the circumstances of this case—particu</w:t>
      </w:r>
      <w:r w:rsidR="00D2167C" w:rsidRPr="007E1051">
        <w:rPr>
          <w:rFonts w:ascii="Palatino Linotype" w:hAnsi="Palatino Linotype"/>
          <w:sz w:val="20"/>
          <w:szCs w:val="20"/>
        </w:rPr>
        <w:t>larly the specific discovery re</w:t>
      </w:r>
      <w:r w:rsidRPr="007E1051">
        <w:rPr>
          <w:rFonts w:ascii="Palatino Linotype" w:hAnsi="Palatino Linotype"/>
          <w:sz w:val="20"/>
          <w:szCs w:val="20"/>
        </w:rPr>
        <w:t>quests at issue here—could lead to this kind of confirmation. In any event, the CIA’s refusal to confirm or deny its cooperation with foreign intelligence services plays an important role in and of itself in maintaining the trust upon which those relationships are based.</w:t>
      </w:r>
    </w:p>
    <w:p w14:paraId="71A27E2A" w14:textId="77777777" w:rsidR="00E67F73" w:rsidRPr="007E1051" w:rsidRDefault="00E67F7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w:t>
      </w:r>
      <w:r w:rsidR="00CF79A3" w:rsidRPr="007E1051">
        <w:rPr>
          <w:rFonts w:ascii="Palatino Linotype" w:hAnsi="Palatino Linotype"/>
          <w:sz w:val="20"/>
          <w:szCs w:val="20"/>
        </w:rPr>
        <w:t>[W]</w:t>
      </w:r>
      <w:r w:rsidRPr="007E1051">
        <w:rPr>
          <w:rFonts w:ascii="Palatino Linotype" w:hAnsi="Palatino Linotype"/>
          <w:sz w:val="20"/>
          <w:szCs w:val="20"/>
        </w:rPr>
        <w:t xml:space="preserve">e </w:t>
      </w:r>
      <w:proofErr w:type="gramStart"/>
      <w:r w:rsidRPr="007E1051">
        <w:rPr>
          <w:rFonts w:ascii="Palatino Linotype" w:hAnsi="Palatino Linotype"/>
          <w:sz w:val="20"/>
          <w:szCs w:val="20"/>
        </w:rPr>
        <w:t>agree</w:t>
      </w:r>
      <w:proofErr w:type="gramEnd"/>
      <w:r w:rsidRPr="007E1051">
        <w:rPr>
          <w:rFonts w:ascii="Palatino Linotype" w:hAnsi="Palatino Linotype"/>
          <w:sz w:val="20"/>
          <w:szCs w:val="20"/>
        </w:rPr>
        <w:t xml:space="preserve"> with </w:t>
      </w:r>
      <w:r w:rsidR="00CF79A3" w:rsidRPr="007E1051">
        <w:rPr>
          <w:rFonts w:ascii="Palatino Linotype" w:hAnsi="Palatino Linotype"/>
          <w:sz w:val="20"/>
          <w:szCs w:val="20"/>
        </w:rPr>
        <w:t>Justice Gorsuch</w:t>
      </w:r>
      <w:r w:rsidRPr="007E1051">
        <w:rPr>
          <w:rFonts w:ascii="Palatino Linotype" w:hAnsi="Palatino Linotype"/>
          <w:sz w:val="20"/>
          <w:szCs w:val="20"/>
        </w:rPr>
        <w:t xml:space="preserve"> that the Government bears the burden of showing that the privilege should apply—we simply disagree with his conclusion that it failed to meet that burd</w:t>
      </w:r>
      <w:r w:rsidR="00CF79A3" w:rsidRPr="007E1051">
        <w:rPr>
          <w:rFonts w:ascii="Palatino Linotype" w:hAnsi="Palatino Linotype"/>
          <w:sz w:val="20"/>
          <w:szCs w:val="20"/>
        </w:rPr>
        <w:t>en here. In our view, the Direc</w:t>
      </w:r>
      <w:r w:rsidRPr="007E1051">
        <w:rPr>
          <w:rFonts w:ascii="Palatino Linotype" w:hAnsi="Palatino Linotype"/>
          <w:sz w:val="20"/>
          <w:szCs w:val="20"/>
        </w:rPr>
        <w:t>tor’s declaration adequately e</w:t>
      </w:r>
      <w:r w:rsidR="00CF79A3" w:rsidRPr="007E1051">
        <w:rPr>
          <w:rFonts w:ascii="Palatino Linotype" w:hAnsi="Palatino Linotype"/>
          <w:sz w:val="20"/>
          <w:szCs w:val="20"/>
        </w:rPr>
        <w:t>stablishes “that there is a rea</w:t>
      </w:r>
      <w:r w:rsidRPr="007E1051">
        <w:rPr>
          <w:rFonts w:ascii="Palatino Linotype" w:hAnsi="Palatino Linotype"/>
          <w:sz w:val="20"/>
          <w:szCs w:val="20"/>
        </w:rPr>
        <w:t>sonable danger that compulsion of the evidence [at issue] will expose . . . matters which, in the interest of national security, should not be divulged.”</w:t>
      </w:r>
      <w:r w:rsidR="00CF79A3" w:rsidRPr="007E1051">
        <w:rPr>
          <w:rFonts w:ascii="Palatino Linotype" w:hAnsi="Palatino Linotype"/>
          <w:sz w:val="20"/>
          <w:szCs w:val="20"/>
        </w:rPr>
        <w:t xml:space="preserve"> . . . </w:t>
      </w:r>
    </w:p>
    <w:p w14:paraId="01CEF8F6" w14:textId="77777777" w:rsidR="00CF79A3" w:rsidRPr="007E1051" w:rsidRDefault="00CF79A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7C31B7D3" w14:textId="77777777" w:rsidR="00CF79A3" w:rsidRPr="007E1051" w:rsidRDefault="00CF79A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Lower courts have explained that the official acknowledgement doctrine [in the Freedom of Information Act context] recognizes the reality that official confirmation of sensitive information may pose risks that unofficial disclosure does not. “It is one thing for a reporter or author to speculate or guess that a thing may be so or even, quoting undisclosed sources, to say that it is so; it is quite another thing for one in a position to know of it officially to say that it is so.” </w:t>
      </w:r>
      <w:r w:rsidRPr="007E1051">
        <w:rPr>
          <w:rFonts w:ascii="Palatino Linotype" w:hAnsi="Palatino Linotype"/>
          <w:i/>
          <w:sz w:val="20"/>
          <w:szCs w:val="20"/>
        </w:rPr>
        <w:t>Alfred A. Knopf, Inc. v. Colby</w:t>
      </w:r>
      <w:r w:rsidRPr="007E1051">
        <w:rPr>
          <w:rFonts w:ascii="Palatino Linotype" w:hAnsi="Palatino Linotype"/>
          <w:sz w:val="20"/>
          <w:szCs w:val="20"/>
        </w:rPr>
        <w:t xml:space="preserve"> (4</w:t>
      </w:r>
      <w:r w:rsidRPr="007E1051">
        <w:rPr>
          <w:rFonts w:ascii="Palatino Linotype" w:hAnsi="Palatino Linotype"/>
          <w:sz w:val="20"/>
          <w:szCs w:val="20"/>
          <w:vertAlign w:val="superscript"/>
        </w:rPr>
        <w:t>th</w:t>
      </w:r>
      <w:r w:rsidRPr="007E1051">
        <w:rPr>
          <w:rFonts w:ascii="Palatino Linotype" w:hAnsi="Palatino Linotype"/>
          <w:sz w:val="20"/>
          <w:szCs w:val="20"/>
        </w:rPr>
        <w:t xml:space="preserve"> Cir. 1975). Official confirmation may dispel “lingering doubts” or reveal that the information currently in the public domain is incomplete or itself a cover story. </w:t>
      </w:r>
      <w:r w:rsidRPr="007E1051">
        <w:rPr>
          <w:rFonts w:ascii="Palatino Linotype" w:hAnsi="Palatino Linotype"/>
          <w:i/>
          <w:sz w:val="20"/>
          <w:szCs w:val="20"/>
        </w:rPr>
        <w:t>Military Audit Project v. Casey</w:t>
      </w:r>
      <w:r w:rsidRPr="007E1051">
        <w:rPr>
          <w:rFonts w:ascii="Palatino Linotype" w:hAnsi="Palatino Linotype"/>
          <w:sz w:val="20"/>
          <w:szCs w:val="20"/>
        </w:rPr>
        <w:t xml:space="preserve"> (DC Cir. 1981).</w:t>
      </w:r>
    </w:p>
    <w:p w14:paraId="1A661E48" w14:textId="77777777" w:rsidR="00CF79A3" w:rsidRPr="007E1051" w:rsidRDefault="00CF79A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This logic helps to explain why disclosure by Mitchell and Jessen could be harmful in ways that disclosure by other sources would not. Here, the Government has not confirmed or otherwise officially acknowledged the existence of a CIA detention site in </w:t>
      </w:r>
      <w:proofErr w:type="gramStart"/>
      <w:r w:rsidRPr="007E1051">
        <w:rPr>
          <w:rFonts w:ascii="Palatino Linotype" w:hAnsi="Palatino Linotype"/>
          <w:sz w:val="20"/>
          <w:szCs w:val="20"/>
        </w:rPr>
        <w:t>Poland</w:t>
      </w:r>
      <w:proofErr w:type="gramEnd"/>
      <w:r w:rsidRPr="007E1051">
        <w:rPr>
          <w:rFonts w:ascii="Palatino Linotype" w:hAnsi="Palatino Linotype"/>
          <w:sz w:val="20"/>
          <w:szCs w:val="20"/>
        </w:rPr>
        <w:t xml:space="preserve"> and it has explained why, under these circumstances, confirmation of that information could reasonably be expected to significantly harm national security interests. That is sufficient to demonstrate that “the occasion for the privilege is appropriate.”</w:t>
      </w:r>
    </w:p>
    <w:p w14:paraId="5AA467AD" w14:textId="77777777" w:rsidR="00CF79A3" w:rsidRPr="007E1051" w:rsidRDefault="00CF79A3"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w:t>
      </w:r>
    </w:p>
    <w:p w14:paraId="702A488A" w14:textId="77777777" w:rsidR="00A935E1" w:rsidRPr="007E1051" w:rsidRDefault="00244B68"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i/>
          <w:sz w:val="20"/>
          <w:szCs w:val="20"/>
        </w:rPr>
        <w:t>Reversed</w:t>
      </w:r>
      <w:r w:rsidRPr="007E1051">
        <w:rPr>
          <w:rFonts w:ascii="Palatino Linotype" w:hAnsi="Palatino Linotype"/>
          <w:sz w:val="20"/>
          <w:szCs w:val="20"/>
        </w:rPr>
        <w:t>.</w:t>
      </w:r>
    </w:p>
    <w:p w14:paraId="212DB72B" w14:textId="77777777" w:rsidR="00CF79A3" w:rsidRPr="007E1051" w:rsidRDefault="00CF79A3" w:rsidP="00E67F73">
      <w:pPr>
        <w:pStyle w:val="loose"/>
        <w:spacing w:before="0" w:beforeAutospacing="0" w:after="0" w:afterAutospacing="0" w:line="240" w:lineRule="auto"/>
        <w:ind w:firstLine="720"/>
        <w:jc w:val="both"/>
        <w:rPr>
          <w:rFonts w:ascii="Palatino Linotype" w:hAnsi="Palatino Linotype"/>
          <w:sz w:val="20"/>
          <w:szCs w:val="20"/>
        </w:rPr>
      </w:pPr>
    </w:p>
    <w:p w14:paraId="71D8A8C9" w14:textId="77777777" w:rsidR="00CF79A3" w:rsidRPr="007E1051" w:rsidRDefault="00CF79A3" w:rsidP="0003691B">
      <w:pPr>
        <w:pStyle w:val="loose"/>
        <w:spacing w:before="0" w:beforeAutospacing="0" w:after="0" w:afterAutospacing="0" w:line="240" w:lineRule="auto"/>
        <w:jc w:val="both"/>
        <w:rPr>
          <w:rFonts w:ascii="Palatino Linotype" w:hAnsi="Palatino Linotype"/>
          <w:sz w:val="20"/>
          <w:szCs w:val="20"/>
        </w:rPr>
      </w:pPr>
      <w:r w:rsidRPr="007E1051">
        <w:rPr>
          <w:rFonts w:ascii="Palatino Linotype" w:hAnsi="Palatino Linotype"/>
          <w:sz w:val="20"/>
          <w:szCs w:val="20"/>
        </w:rPr>
        <w:t>JUSTICE THOMAS, with whom JUSTICE ALITO joins, concurring in part.</w:t>
      </w:r>
    </w:p>
    <w:p w14:paraId="1FD021C1" w14:textId="77777777" w:rsidR="00CF79A3"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0EABB0F9"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i/>
          <w:iCs/>
          <w:sz w:val="20"/>
          <w:szCs w:val="20"/>
        </w:rPr>
        <w:t xml:space="preserve">Reynolds </w:t>
      </w:r>
      <w:r w:rsidRPr="007E1051">
        <w:rPr>
          <w:rFonts w:ascii="Palatino Linotype" w:hAnsi="Palatino Linotype"/>
          <w:sz w:val="20"/>
          <w:szCs w:val="20"/>
        </w:rPr>
        <w:t xml:space="preserve">prescribed a two-step framework instructing courts “how far [they] should probe in satisfying [themselves] that the occasion for invoking the privilege is appropriate.” First, courts must assess the requesting party’s need for the Government’s privileged material. If the party’s need is “dubious,” a formal claim of privilege “will have to prevail” without judicial inquiry into the basis for the Government’s </w:t>
      </w:r>
      <w:r w:rsidRPr="007E1051">
        <w:rPr>
          <w:rFonts w:ascii="Palatino Linotype" w:hAnsi="Palatino Linotype"/>
          <w:sz w:val="20"/>
          <w:szCs w:val="20"/>
        </w:rPr>
        <w:lastRenderedPageBreak/>
        <w:t>claim. A party has a dubious need unless it can show that the proposed discovery is “immediately and essentially applicable” to the party’s case</w:t>
      </w:r>
      <w:proofErr w:type="gramStart"/>
      <w:r w:rsidRPr="007E1051">
        <w:rPr>
          <w:rFonts w:ascii="Palatino Linotype" w:hAnsi="Palatino Linotype"/>
          <w:sz w:val="20"/>
          <w:szCs w:val="20"/>
        </w:rPr>
        <w:t>. . . .</w:t>
      </w:r>
      <w:proofErr w:type="gramEnd"/>
    </w:p>
    <w:p w14:paraId="6BB0FB59"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Second, if a party has made a “strong showing of necessity,” immediate dismissal of the discovery request is not required. The court may then ask whether there is a “reasonable danger” that “military secrets are at stake.” . . .</w:t>
      </w:r>
    </w:p>
    <w:p w14:paraId="7FA77CB0"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576779C7"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In this case, the Court inverts the </w:t>
      </w:r>
      <w:r w:rsidRPr="007E1051">
        <w:rPr>
          <w:rFonts w:ascii="Palatino Linotype" w:hAnsi="Palatino Linotype"/>
          <w:i/>
          <w:iCs/>
          <w:sz w:val="20"/>
          <w:szCs w:val="20"/>
        </w:rPr>
        <w:t xml:space="preserve">Reynolds </w:t>
      </w:r>
      <w:r w:rsidRPr="007E1051">
        <w:rPr>
          <w:rFonts w:ascii="Palatino Linotype" w:hAnsi="Palatino Linotype"/>
          <w:sz w:val="20"/>
          <w:szCs w:val="20"/>
        </w:rPr>
        <w:t xml:space="preserve">test so that courts </w:t>
      </w:r>
      <w:r w:rsidRPr="007E1051">
        <w:rPr>
          <w:rFonts w:ascii="Palatino Linotype" w:hAnsi="Palatino Linotype"/>
          <w:i/>
          <w:iCs/>
          <w:sz w:val="20"/>
          <w:szCs w:val="20"/>
        </w:rPr>
        <w:t xml:space="preserve">first </w:t>
      </w:r>
      <w:r w:rsidRPr="007E1051">
        <w:rPr>
          <w:rFonts w:ascii="Palatino Linotype" w:hAnsi="Palatino Linotype"/>
          <w:sz w:val="20"/>
          <w:szCs w:val="20"/>
        </w:rPr>
        <w:t xml:space="preserve">ask whether the Government “has offered a valid reason for invoking the privilege,” and </w:t>
      </w:r>
      <w:r w:rsidRPr="007E1051">
        <w:rPr>
          <w:rFonts w:ascii="Palatino Linotype" w:hAnsi="Palatino Linotype"/>
          <w:i/>
          <w:iCs/>
          <w:sz w:val="20"/>
          <w:szCs w:val="20"/>
        </w:rPr>
        <w:t xml:space="preserve">then </w:t>
      </w:r>
      <w:r w:rsidRPr="007E1051">
        <w:rPr>
          <w:rFonts w:ascii="Palatino Linotype" w:hAnsi="Palatino Linotype"/>
          <w:sz w:val="20"/>
          <w:szCs w:val="20"/>
        </w:rPr>
        <w:t>ask whether the requesting party has demonstrated sufficient need for the discovery</w:t>
      </w:r>
      <w:proofErr w:type="gramStart"/>
      <w:r w:rsidRPr="007E1051">
        <w:rPr>
          <w:rFonts w:ascii="Palatino Linotype" w:hAnsi="Palatino Linotype"/>
          <w:sz w:val="20"/>
          <w:szCs w:val="20"/>
        </w:rPr>
        <w:t>. . . .</w:t>
      </w:r>
      <w:proofErr w:type="gramEnd"/>
    </w:p>
    <w:p w14:paraId="37B79B4A"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i/>
          <w:iCs/>
          <w:sz w:val="20"/>
          <w:szCs w:val="20"/>
        </w:rPr>
        <w:t xml:space="preserve">Reynolds </w:t>
      </w:r>
      <w:r w:rsidRPr="007E1051">
        <w:rPr>
          <w:rFonts w:ascii="Palatino Linotype" w:hAnsi="Palatino Linotype"/>
          <w:sz w:val="20"/>
          <w:szCs w:val="20"/>
        </w:rPr>
        <w:t>squarely forecloses the Court’s reasons-first approach. Regardless of need</w:t>
      </w:r>
      <w:r w:rsidR="00D2167C" w:rsidRPr="007E1051">
        <w:rPr>
          <w:rFonts w:ascii="Palatino Linotype" w:hAnsi="Palatino Linotype"/>
          <w:sz w:val="20"/>
          <w:szCs w:val="20"/>
        </w:rPr>
        <w:t>, a claim of privilege must pre</w:t>
      </w:r>
      <w:r w:rsidRPr="007E1051">
        <w:rPr>
          <w:rFonts w:ascii="Palatino Linotype" w:hAnsi="Palatino Linotype"/>
          <w:sz w:val="20"/>
          <w:szCs w:val="20"/>
        </w:rPr>
        <w:t>vail once the Government ha</w:t>
      </w:r>
      <w:r w:rsidR="00D2167C" w:rsidRPr="007E1051">
        <w:rPr>
          <w:rFonts w:ascii="Palatino Linotype" w:hAnsi="Palatino Linotype"/>
          <w:sz w:val="20"/>
          <w:szCs w:val="20"/>
        </w:rPr>
        <w:t>s given a “valid reason” to sup</w:t>
      </w:r>
      <w:r w:rsidRPr="007E1051">
        <w:rPr>
          <w:rFonts w:ascii="Palatino Linotype" w:hAnsi="Palatino Linotype"/>
          <w:sz w:val="20"/>
          <w:szCs w:val="20"/>
        </w:rPr>
        <w:t>port it, because “even the most compelling necessity cannot overcome the claim of privilege if the court is ultimately satisfied that military secrets are at stake.” . . .</w:t>
      </w:r>
    </w:p>
    <w:p w14:paraId="19CD311D"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w:t>
      </w:r>
    </w:p>
    <w:p w14:paraId="6FE1E718" w14:textId="77777777" w:rsidR="0003691B" w:rsidRPr="007E1051" w:rsidRDefault="0003691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While the Executive can control its subordinates’ access to state secrets and enforce pe</w:t>
      </w:r>
      <w:r w:rsidR="008739EA" w:rsidRPr="007E1051">
        <w:rPr>
          <w:rFonts w:ascii="Palatino Linotype" w:hAnsi="Palatino Linotype"/>
          <w:sz w:val="20"/>
          <w:szCs w:val="20"/>
        </w:rPr>
        <w:t>nalties if such material is mis</w:t>
      </w:r>
      <w:r w:rsidRPr="007E1051">
        <w:rPr>
          <w:rFonts w:ascii="Palatino Linotype" w:hAnsi="Palatino Linotype"/>
          <w:sz w:val="20"/>
          <w:szCs w:val="20"/>
        </w:rPr>
        <w:t xml:space="preserve">handled, it has little control once state secrets fall into the Judiciary’s hands. Disclosure to a judge, therefore, poses a very real national-security threat. The plurality’s cavalier statement that “sometimes” </w:t>
      </w:r>
      <w:r w:rsidRPr="007E1051">
        <w:rPr>
          <w:rFonts w:ascii="Palatino Linotype" w:hAnsi="Palatino Linotype"/>
          <w:i/>
          <w:iCs/>
          <w:sz w:val="20"/>
          <w:szCs w:val="20"/>
        </w:rPr>
        <w:t xml:space="preserve">in camera </w:t>
      </w:r>
      <w:r w:rsidRPr="007E1051">
        <w:rPr>
          <w:rFonts w:ascii="Palatino Linotype" w:hAnsi="Palatino Linotype"/>
          <w:sz w:val="20"/>
          <w:szCs w:val="20"/>
        </w:rPr>
        <w:t>review is warranted fails even to acknowledge that risk.</w:t>
      </w:r>
    </w:p>
    <w:p w14:paraId="486B8173"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[T]he Court’s inverted </w:t>
      </w:r>
      <w:r w:rsidRPr="007E1051">
        <w:rPr>
          <w:rFonts w:ascii="Palatino Linotype" w:hAnsi="Palatino Linotype"/>
          <w:i/>
          <w:iCs/>
          <w:sz w:val="20"/>
          <w:szCs w:val="20"/>
        </w:rPr>
        <w:t xml:space="preserve">Reynolds </w:t>
      </w:r>
      <w:r w:rsidRPr="007E1051">
        <w:rPr>
          <w:rFonts w:ascii="Palatino Linotype" w:hAnsi="Palatino Linotype"/>
          <w:sz w:val="20"/>
          <w:szCs w:val="20"/>
        </w:rPr>
        <w:t>test undermines the “utmost deference” owed to the Executive’s national-security judgments</w:t>
      </w:r>
      <w:proofErr w:type="gramStart"/>
      <w:r w:rsidRPr="007E1051">
        <w:rPr>
          <w:rFonts w:ascii="Palatino Linotype" w:hAnsi="Palatino Linotype"/>
          <w:sz w:val="20"/>
          <w:szCs w:val="20"/>
        </w:rPr>
        <w:t>. . . .</w:t>
      </w:r>
      <w:proofErr w:type="gramEnd"/>
    </w:p>
    <w:p w14:paraId="5F51EAD2"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64AA7685"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p>
    <w:p w14:paraId="7A91AC4C" w14:textId="77777777" w:rsidR="008739EA" w:rsidRPr="007E1051" w:rsidRDefault="008739EA" w:rsidP="008739EA">
      <w:pPr>
        <w:pStyle w:val="loose"/>
        <w:spacing w:before="0" w:beforeAutospacing="0" w:after="0" w:afterAutospacing="0" w:line="240" w:lineRule="auto"/>
        <w:jc w:val="both"/>
        <w:rPr>
          <w:rFonts w:ascii="Palatino Linotype" w:hAnsi="Palatino Linotype"/>
          <w:sz w:val="20"/>
          <w:szCs w:val="20"/>
        </w:rPr>
      </w:pPr>
      <w:r w:rsidRPr="007E1051">
        <w:rPr>
          <w:rFonts w:ascii="Palatino Linotype" w:hAnsi="Palatino Linotype"/>
          <w:sz w:val="20"/>
          <w:szCs w:val="20"/>
        </w:rPr>
        <w:t>JUSTICE KAVANAUGH, with whom JUSTICE BARRETT joins, concurring in part.</w:t>
      </w:r>
    </w:p>
    <w:p w14:paraId="418BD399"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2C417551"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In all events, once t</w:t>
      </w:r>
      <w:r w:rsidR="00DE2C5B" w:rsidRPr="007E1051">
        <w:rPr>
          <w:rFonts w:ascii="Palatino Linotype" w:hAnsi="Palatino Linotype"/>
          <w:sz w:val="20"/>
          <w:szCs w:val="20"/>
        </w:rPr>
        <w:t>he court determines that the re</w:t>
      </w:r>
      <w:r w:rsidRPr="007E1051">
        <w:rPr>
          <w:rFonts w:ascii="Palatino Linotype" w:hAnsi="Palatino Linotype"/>
          <w:sz w:val="20"/>
          <w:szCs w:val="20"/>
        </w:rPr>
        <w:t>quested information falls within the state secrets privilege, “even the most compelling necessity” cannot overcome the privilege. The privilege is absolute, not qualified.</w:t>
      </w:r>
    </w:p>
    <w:p w14:paraId="663E6B02" w14:textId="77777777" w:rsidR="008739EA" w:rsidRPr="007E1051" w:rsidRDefault="008739E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In state secrets cases, a court’s review from start to finish must be deferential to the Executive Branch. As this Court has long explained, the courts “have traditionally shown the utmost deference to Presidential responsibilities” in cases involving “military or diplomatic secrets,” and “have been reluctant to intrude upon the authority of the Executive in military and national security affairs,”</w:t>
      </w:r>
      <w:r w:rsidR="00F82F2B" w:rsidRPr="007E1051">
        <w:rPr>
          <w:rFonts w:ascii="Palatino Linotype" w:hAnsi="Palatino Linotype"/>
          <w:sz w:val="20"/>
          <w:szCs w:val="20"/>
        </w:rPr>
        <w:t xml:space="preserve"> </w:t>
      </w:r>
      <w:r w:rsidR="00F82F2B" w:rsidRPr="007E1051">
        <w:rPr>
          <w:rFonts w:ascii="Palatino Linotype" w:hAnsi="Palatino Linotype"/>
          <w:i/>
          <w:sz w:val="20"/>
          <w:szCs w:val="20"/>
        </w:rPr>
        <w:t>Department of Navy v. Egan</w:t>
      </w:r>
      <w:r w:rsidR="00F82F2B" w:rsidRPr="007E1051">
        <w:rPr>
          <w:rFonts w:ascii="Palatino Linotype" w:hAnsi="Palatino Linotype"/>
          <w:sz w:val="20"/>
          <w:szCs w:val="20"/>
        </w:rPr>
        <w:t xml:space="preserve"> (1988).</w:t>
      </w:r>
    </w:p>
    <w:p w14:paraId="039C099E"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1429965E"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p>
    <w:p w14:paraId="1A7A4ED2" w14:textId="77777777" w:rsidR="00F82F2B" w:rsidRPr="007E1051" w:rsidRDefault="00F82F2B" w:rsidP="00F82F2B">
      <w:pPr>
        <w:pStyle w:val="loose"/>
        <w:spacing w:before="0" w:beforeAutospacing="0" w:after="0" w:afterAutospacing="0" w:line="240" w:lineRule="auto"/>
        <w:jc w:val="both"/>
        <w:rPr>
          <w:rFonts w:ascii="Palatino Linotype" w:hAnsi="Palatino Linotype"/>
          <w:sz w:val="20"/>
          <w:szCs w:val="20"/>
        </w:rPr>
      </w:pPr>
      <w:r w:rsidRPr="007E1051">
        <w:rPr>
          <w:rFonts w:ascii="Palatino Linotype" w:hAnsi="Palatino Linotype"/>
          <w:sz w:val="20"/>
          <w:szCs w:val="20"/>
        </w:rPr>
        <w:t>JUSTICE KAGAN, dissenting in part.</w:t>
      </w:r>
    </w:p>
    <w:p w14:paraId="612E8A61"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517F9F00"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Start with where I join the Court: I agree the Government has met its burden of showing that testimony by former CIA contractors confirming the location of </w:t>
      </w:r>
      <w:proofErr w:type="spellStart"/>
      <w:r w:rsidRPr="007E1051">
        <w:rPr>
          <w:rFonts w:ascii="Palatino Linotype" w:hAnsi="Palatino Linotype"/>
          <w:sz w:val="20"/>
          <w:szCs w:val="20"/>
        </w:rPr>
        <w:t>Zubaydah’s</w:t>
      </w:r>
      <w:proofErr w:type="spellEnd"/>
      <w:r w:rsidRPr="007E1051">
        <w:rPr>
          <w:rFonts w:ascii="Palatino Linotype" w:hAnsi="Palatino Linotype"/>
          <w:sz w:val="20"/>
          <w:szCs w:val="20"/>
        </w:rPr>
        <w:t xml:space="preserve"> detention would pose a “reasonable danger” of harm to national security</w:t>
      </w:r>
      <w:proofErr w:type="gramStart"/>
      <w:r w:rsidRPr="007E1051">
        <w:rPr>
          <w:rFonts w:ascii="Palatino Linotype" w:hAnsi="Palatino Linotype"/>
          <w:sz w:val="20"/>
          <w:szCs w:val="20"/>
        </w:rPr>
        <w:t>. . . .</w:t>
      </w:r>
      <w:proofErr w:type="gramEnd"/>
    </w:p>
    <w:p w14:paraId="2803B531"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314AEBBF"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But that does not mean, as the Court insists, that we should dismiss </w:t>
      </w:r>
      <w:proofErr w:type="spellStart"/>
      <w:r w:rsidRPr="007E1051">
        <w:rPr>
          <w:rFonts w:ascii="Palatino Linotype" w:hAnsi="Palatino Linotype"/>
          <w:sz w:val="20"/>
          <w:szCs w:val="20"/>
        </w:rPr>
        <w:t>Zubaydah’s</w:t>
      </w:r>
      <w:proofErr w:type="spellEnd"/>
      <w:r w:rsidRPr="007E1051">
        <w:rPr>
          <w:rFonts w:ascii="Palatino Linotype" w:hAnsi="Palatino Linotype"/>
          <w:sz w:val="20"/>
          <w:szCs w:val="20"/>
        </w:rPr>
        <w:t xml:space="preserve"> suit. From the beginning of this litigation, </w:t>
      </w:r>
      <w:proofErr w:type="spellStart"/>
      <w:r w:rsidRPr="007E1051">
        <w:rPr>
          <w:rFonts w:ascii="Palatino Linotype" w:hAnsi="Palatino Linotype"/>
          <w:sz w:val="20"/>
          <w:szCs w:val="20"/>
        </w:rPr>
        <w:t>Zubaydah</w:t>
      </w:r>
      <w:proofErr w:type="spellEnd"/>
      <w:r w:rsidRPr="007E1051">
        <w:rPr>
          <w:rFonts w:ascii="Palatino Linotype" w:hAnsi="Palatino Linotype"/>
          <w:sz w:val="20"/>
          <w:szCs w:val="20"/>
        </w:rPr>
        <w:t xml:space="preserve"> has distinguished between the “where” and the “what”—the location of the detention site at issue and the treatment he received there</w:t>
      </w:r>
      <w:proofErr w:type="gramStart"/>
      <w:r w:rsidRPr="007E1051">
        <w:rPr>
          <w:rFonts w:ascii="Palatino Linotype" w:hAnsi="Palatino Linotype"/>
          <w:sz w:val="20"/>
          <w:szCs w:val="20"/>
        </w:rPr>
        <w:t>. . . .</w:t>
      </w:r>
      <w:proofErr w:type="gramEnd"/>
      <w:r w:rsidRPr="007E1051">
        <w:rPr>
          <w:rFonts w:ascii="Palatino Linotype" w:hAnsi="Palatino Linotype"/>
          <w:sz w:val="20"/>
          <w:szCs w:val="20"/>
        </w:rPr>
        <w:t xml:space="preserve"> That creates the possibility of segregating the classified (location) information from the unclassified (treatment) information and allowing discovery into the latter.</w:t>
      </w:r>
    </w:p>
    <w:p w14:paraId="2242DB26"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lastRenderedPageBreak/>
        <w:t>. . . .</w:t>
      </w:r>
    </w:p>
    <w:p w14:paraId="79DE15B2"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I would allow </w:t>
      </w:r>
      <w:proofErr w:type="spellStart"/>
      <w:r w:rsidRPr="007E1051">
        <w:rPr>
          <w:rFonts w:ascii="Palatino Linotype" w:hAnsi="Palatino Linotype"/>
          <w:sz w:val="20"/>
          <w:szCs w:val="20"/>
        </w:rPr>
        <w:t>Zubaydah</w:t>
      </w:r>
      <w:proofErr w:type="spellEnd"/>
      <w:r w:rsidRPr="007E1051">
        <w:rPr>
          <w:rFonts w:ascii="Palatino Linotype" w:hAnsi="Palatino Linotype"/>
          <w:sz w:val="20"/>
          <w:szCs w:val="20"/>
        </w:rPr>
        <w:t xml:space="preserve"> to amend his requests to remove all Poland-specific references, so that he can obtain testimony about his detention—in whatever country it took place.</w:t>
      </w:r>
    </w:p>
    <w:p w14:paraId="57F34626"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2AD6FCA4" w14:textId="77777777" w:rsidR="00F82F2B" w:rsidRPr="007E1051" w:rsidRDefault="00F82F2B" w:rsidP="00E67F73">
      <w:pPr>
        <w:pStyle w:val="loose"/>
        <w:spacing w:before="0" w:beforeAutospacing="0" w:after="0" w:afterAutospacing="0" w:line="240" w:lineRule="auto"/>
        <w:ind w:firstLine="720"/>
        <w:jc w:val="both"/>
        <w:rPr>
          <w:rFonts w:ascii="Palatino Linotype" w:hAnsi="Palatino Linotype"/>
          <w:sz w:val="20"/>
          <w:szCs w:val="20"/>
        </w:rPr>
      </w:pPr>
    </w:p>
    <w:p w14:paraId="14A6FB71" w14:textId="77777777" w:rsidR="00F82F2B" w:rsidRPr="007E1051" w:rsidRDefault="00F82F2B" w:rsidP="00F82F2B">
      <w:pPr>
        <w:pStyle w:val="loose"/>
        <w:spacing w:before="0" w:beforeAutospacing="0" w:after="0" w:afterAutospacing="0" w:line="240" w:lineRule="auto"/>
        <w:jc w:val="both"/>
        <w:rPr>
          <w:rFonts w:ascii="Palatino Linotype" w:hAnsi="Palatino Linotype"/>
          <w:sz w:val="20"/>
          <w:szCs w:val="20"/>
        </w:rPr>
      </w:pPr>
      <w:r w:rsidRPr="007E1051">
        <w:rPr>
          <w:rFonts w:ascii="Palatino Linotype" w:hAnsi="Palatino Linotype"/>
          <w:sz w:val="20"/>
          <w:szCs w:val="20"/>
        </w:rPr>
        <w:t>JUSTICE GORSUCH, with whom JUSTICE SOTOMAYOR join, dissenting.</w:t>
      </w:r>
    </w:p>
    <w:p w14:paraId="6508EC0D" w14:textId="77777777" w:rsidR="00F82F2B" w:rsidRPr="007E1051" w:rsidRDefault="009E3EED"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There comes a point where we should not be ignorant as judges of what we know to be true as citizens. This case takes us well past that point. </w:t>
      </w:r>
      <w:proofErr w:type="spellStart"/>
      <w:r w:rsidRPr="007E1051">
        <w:rPr>
          <w:rFonts w:ascii="Palatino Linotype" w:hAnsi="Palatino Linotype"/>
          <w:sz w:val="20"/>
          <w:szCs w:val="20"/>
        </w:rPr>
        <w:t>Zubaydah</w:t>
      </w:r>
      <w:proofErr w:type="spellEnd"/>
      <w:r w:rsidRPr="007E1051">
        <w:rPr>
          <w:rFonts w:ascii="Palatino Linotype" w:hAnsi="Palatino Linotype"/>
          <w:sz w:val="20"/>
          <w:szCs w:val="20"/>
        </w:rPr>
        <w:t xml:space="preserve"> seeks information about his torture at the hands of the CIA. The events in question took place two decades ago. They have long been declassified. Official reports have been published, books written, and movies made about them. Still, the government seeks to have this suit dismissed on the ground it implicates a state secret—and today the Court acquiesces in that request. Ending this suit may shield the government from some further modest measure of embarrassment. But respectfully, we should not pretend it will safeguard any secret.</w:t>
      </w:r>
    </w:p>
    <w:p w14:paraId="22548BF0" w14:textId="77777777" w:rsidR="009E3EED" w:rsidRPr="007E1051" w:rsidRDefault="00215B8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2089282B" w14:textId="77777777" w:rsidR="00215B8A" w:rsidRPr="007E1051" w:rsidRDefault="00215B8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Still, </w:t>
      </w:r>
      <w:proofErr w:type="spellStart"/>
      <w:r w:rsidRPr="007E1051">
        <w:rPr>
          <w:rFonts w:ascii="Palatino Linotype" w:hAnsi="Palatino Linotype"/>
          <w:sz w:val="20"/>
          <w:szCs w:val="20"/>
        </w:rPr>
        <w:t>Zubaydah’s</w:t>
      </w:r>
      <w:proofErr w:type="spellEnd"/>
      <w:r w:rsidRPr="007E1051">
        <w:rPr>
          <w:rFonts w:ascii="Palatino Linotype" w:hAnsi="Palatino Linotype"/>
          <w:sz w:val="20"/>
          <w:szCs w:val="20"/>
        </w:rPr>
        <w:t xml:space="preserve"> story remains incomplete. While we know that the CIA held </w:t>
      </w:r>
      <w:proofErr w:type="spellStart"/>
      <w:r w:rsidRPr="007E1051">
        <w:rPr>
          <w:rFonts w:ascii="Palatino Linotype" w:hAnsi="Palatino Linotype"/>
          <w:sz w:val="20"/>
          <w:szCs w:val="20"/>
        </w:rPr>
        <w:t>Zubaydah</w:t>
      </w:r>
      <w:proofErr w:type="spellEnd"/>
      <w:r w:rsidRPr="007E1051">
        <w:rPr>
          <w:rFonts w:ascii="Palatino Linotype" w:hAnsi="Palatino Linotype"/>
          <w:sz w:val="20"/>
          <w:szCs w:val="20"/>
        </w:rPr>
        <w:t xml:space="preserve"> at Detention Site Blue from December 2002 until September 2003, and while we know that the site was in Poland, what happened to him there remains unclear</w:t>
      </w:r>
      <w:proofErr w:type="gramStart"/>
      <w:r w:rsidRPr="007E1051">
        <w:rPr>
          <w:rFonts w:ascii="Palatino Linotype" w:hAnsi="Palatino Linotype"/>
          <w:sz w:val="20"/>
          <w:szCs w:val="20"/>
        </w:rPr>
        <w:t>. . . .</w:t>
      </w:r>
      <w:proofErr w:type="gramEnd"/>
      <w:r w:rsidRPr="007E1051">
        <w:rPr>
          <w:rFonts w:ascii="Palatino Linotype" w:hAnsi="Palatino Linotype"/>
          <w:sz w:val="20"/>
          <w:szCs w:val="20"/>
        </w:rPr>
        <w:t xml:space="preserve"> </w:t>
      </w:r>
    </w:p>
    <w:p w14:paraId="48D6B304" w14:textId="77777777" w:rsidR="00215B8A" w:rsidRPr="007E1051" w:rsidRDefault="00215B8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Today, Polish prosecutors are seeking to unravel that part of the story and determine whether criminal charges are appropriate in that country</w:t>
      </w:r>
      <w:proofErr w:type="gramStart"/>
      <w:r w:rsidRPr="007E1051">
        <w:rPr>
          <w:rFonts w:ascii="Palatino Linotype" w:hAnsi="Palatino Linotype"/>
          <w:sz w:val="20"/>
          <w:szCs w:val="20"/>
        </w:rPr>
        <w:t>. . . .</w:t>
      </w:r>
      <w:proofErr w:type="gramEnd"/>
    </w:p>
    <w:p w14:paraId="6F9E7F89" w14:textId="77777777" w:rsidR="00215B8A" w:rsidRPr="007E1051" w:rsidRDefault="00215B8A" w:rsidP="00E67F73">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2E8F97DE" w14:textId="77777777" w:rsidR="00215B8A" w:rsidRPr="007E1051" w:rsidRDefault="00215B8A"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I do not question that Article II grants the Executive substantial authority over the conduct of the Nation’s foreign affairs. Nor do I doubt that the Executive’s responsibility in this field often “poses ‘delicate’ and ‘complex’ questions involving ‘large elements of prophecy . . . for which the Judiciary has neither aptitude, facilities nor responsibility.’”</w:t>
      </w:r>
    </w:p>
    <w:p w14:paraId="55C1E51B" w14:textId="77777777" w:rsidR="00215B8A" w:rsidRPr="007E1051" w:rsidRDefault="00215B8A"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0A7F2543" w14:textId="77777777" w:rsidR="00215B8A" w:rsidRPr="007E1051" w:rsidRDefault="00215B8A"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Normally, too, when Congress endows the Judiciary with the statutory authority to decide a case, we have a “virtually unflagging” obligation to do just that. </w:t>
      </w:r>
      <w:r w:rsidR="00D54007" w:rsidRPr="007E1051">
        <w:rPr>
          <w:rFonts w:ascii="Palatino Linotype" w:hAnsi="Palatino Linotype"/>
          <w:sz w:val="20"/>
          <w:szCs w:val="20"/>
        </w:rPr>
        <w:t xml:space="preserve">In deciding cases lawfully put to us, courts generally must respect </w:t>
      </w:r>
      <w:proofErr w:type="gramStart"/>
      <w:r w:rsidR="00D54007" w:rsidRPr="007E1051">
        <w:rPr>
          <w:rFonts w:ascii="Palatino Linotype" w:hAnsi="Palatino Linotype"/>
          <w:sz w:val="20"/>
          <w:szCs w:val="20"/>
        </w:rPr>
        <w:t>as well the ancient rule</w:t>
      </w:r>
      <w:proofErr w:type="gramEnd"/>
      <w:r w:rsidR="00D54007" w:rsidRPr="007E1051">
        <w:rPr>
          <w:rFonts w:ascii="Palatino Linotype" w:hAnsi="Palatino Linotype"/>
          <w:sz w:val="20"/>
          <w:szCs w:val="20"/>
        </w:rPr>
        <w:t xml:space="preserve"> that the public enjoys a right to “every man’s evidence.” In this country, no one stands above the law; not even the President may deflect evidentiary inquiries just because they may prove inconvenient or embarrassing.</w:t>
      </w:r>
    </w:p>
    <w:p w14:paraId="4AC536C2" w14:textId="77777777" w:rsidR="00D54007" w:rsidRPr="007E1051" w:rsidRDefault="00D5400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None of this is to suggest that the state secrets privilege is inconsistent with our separation of powers. Even a statute that constitutionally allows federal courts to pass on matters touching on foreign affairs in most cases may, in some applications, trenc</w:t>
      </w:r>
      <w:r w:rsidR="00D2167C" w:rsidRPr="007E1051">
        <w:rPr>
          <w:rFonts w:ascii="Palatino Linotype" w:hAnsi="Palatino Linotype"/>
          <w:sz w:val="20"/>
          <w:szCs w:val="20"/>
        </w:rPr>
        <w:t>h on powers the Constitution re</w:t>
      </w:r>
      <w:r w:rsidRPr="007E1051">
        <w:rPr>
          <w:rFonts w:ascii="Palatino Linotype" w:hAnsi="Palatino Linotype"/>
          <w:sz w:val="20"/>
          <w:szCs w:val="20"/>
        </w:rPr>
        <w:t>serves for the Executive. It is simply that the privilege is no blunderbuss and courts may not flee from the field at its mere display. Instead, w</w:t>
      </w:r>
      <w:r w:rsidR="00D2167C" w:rsidRPr="007E1051">
        <w:rPr>
          <w:rFonts w:ascii="Palatino Linotype" w:hAnsi="Palatino Linotype"/>
          <w:sz w:val="20"/>
          <w:szCs w:val="20"/>
        </w:rPr>
        <w:t>hen the Executive seeks to with</w:t>
      </w:r>
      <w:r w:rsidRPr="007E1051">
        <w:rPr>
          <w:rFonts w:ascii="Palatino Linotype" w:hAnsi="Palatino Linotype"/>
          <w:sz w:val="20"/>
          <w:szCs w:val="20"/>
        </w:rPr>
        <w:t xml:space="preserve">hold every man’s evidence from a judicial proceeding thanks to the powers it enjoys under Article II, that claim must be carefully assessed against the competing powers Articles I and III have vested in Congress and the Judiciary. The original design of the Constitution and “our historic commitment to the rule of law” demand no less. </w:t>
      </w:r>
      <w:r w:rsidRPr="007E1051">
        <w:rPr>
          <w:rFonts w:ascii="Palatino Linotype" w:hAnsi="Palatino Linotype"/>
          <w:i/>
          <w:sz w:val="20"/>
          <w:szCs w:val="20"/>
        </w:rPr>
        <w:t>United States v. Nixon</w:t>
      </w:r>
      <w:r w:rsidRPr="007E1051">
        <w:rPr>
          <w:rFonts w:ascii="Palatino Linotype" w:hAnsi="Palatino Linotype"/>
          <w:sz w:val="20"/>
          <w:szCs w:val="20"/>
        </w:rPr>
        <w:t xml:space="preserve"> (1974).</w:t>
      </w:r>
    </w:p>
    <w:p w14:paraId="0AD28BE5" w14:textId="77777777" w:rsidR="00D54007" w:rsidRPr="007E1051" w:rsidRDefault="00D5400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4A4D7462" w14:textId="77777777" w:rsidR="00D54007" w:rsidRPr="007E1051" w:rsidRDefault="00D5400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Had Chief Justice Marshall envisioned a rule of “utmost deference” to executive claims of privilege replicating something like the privilege the English crown enjoyed, it would have been the simplest thing for him to say so. Instead, the “clear implication” of his opinions in </w:t>
      </w:r>
      <w:r w:rsidRPr="007E1051">
        <w:rPr>
          <w:rFonts w:ascii="Palatino Linotype" w:hAnsi="Palatino Linotype"/>
          <w:i/>
          <w:sz w:val="20"/>
          <w:szCs w:val="20"/>
        </w:rPr>
        <w:t xml:space="preserve">United States v. </w:t>
      </w:r>
      <w:r w:rsidRPr="007E1051">
        <w:rPr>
          <w:rFonts w:ascii="Palatino Linotype" w:hAnsi="Palatino Linotype"/>
          <w:i/>
          <w:iCs/>
          <w:sz w:val="20"/>
          <w:szCs w:val="20"/>
        </w:rPr>
        <w:t xml:space="preserve">Burr </w:t>
      </w:r>
      <w:r w:rsidRPr="007E1051">
        <w:rPr>
          <w:rFonts w:ascii="Palatino Linotype" w:hAnsi="Palatino Linotype"/>
          <w:iCs/>
          <w:sz w:val="20"/>
          <w:szCs w:val="20"/>
        </w:rPr>
        <w:t>(CC Va. 1807)</w:t>
      </w:r>
      <w:r w:rsidRPr="007E1051">
        <w:rPr>
          <w:rFonts w:ascii="Palatino Linotype" w:hAnsi="Palatino Linotype"/>
          <w:i/>
          <w:iCs/>
          <w:sz w:val="20"/>
          <w:szCs w:val="20"/>
        </w:rPr>
        <w:t xml:space="preserve"> </w:t>
      </w:r>
      <w:r w:rsidRPr="007E1051">
        <w:rPr>
          <w:rFonts w:ascii="Palatino Linotype" w:hAnsi="Palatino Linotype"/>
          <w:sz w:val="20"/>
          <w:szCs w:val="20"/>
        </w:rPr>
        <w:t xml:space="preserve">is that “the President’s special interests may warrant a careful judicial screening of subpoenas after the President interposes an objection, but that some subpoenas will nevertheless be properly sustained by </w:t>
      </w:r>
      <w:r w:rsidRPr="007E1051">
        <w:rPr>
          <w:rFonts w:ascii="Palatino Linotype" w:hAnsi="Palatino Linotype"/>
          <w:sz w:val="20"/>
          <w:szCs w:val="20"/>
        </w:rPr>
        <w:lastRenderedPageBreak/>
        <w:t xml:space="preserve">judicial orders of compliance.” </w:t>
      </w:r>
      <w:r w:rsidR="00D2167C" w:rsidRPr="007E1051">
        <w:rPr>
          <w:rFonts w:ascii="Palatino Linotype" w:hAnsi="Palatino Linotype"/>
          <w:sz w:val="20"/>
          <w:szCs w:val="20"/>
        </w:rPr>
        <w:t>And “the ulti</w:t>
      </w:r>
      <w:r w:rsidRPr="007E1051">
        <w:rPr>
          <w:rFonts w:ascii="Palatino Linotype" w:hAnsi="Palatino Linotype"/>
          <w:sz w:val="20"/>
          <w:szCs w:val="20"/>
        </w:rPr>
        <w:t xml:space="preserve">mate decision” on such matters “remain[s]” with a court of law. </w:t>
      </w:r>
      <w:r w:rsidRPr="007E1051">
        <w:rPr>
          <w:rFonts w:ascii="Palatino Linotype" w:hAnsi="Palatino Linotype"/>
          <w:i/>
          <w:sz w:val="20"/>
          <w:szCs w:val="20"/>
        </w:rPr>
        <w:t>Nixon v. Sirica</w:t>
      </w:r>
      <w:r w:rsidRPr="007E1051">
        <w:rPr>
          <w:rFonts w:ascii="Palatino Linotype" w:hAnsi="Palatino Linotype"/>
          <w:sz w:val="20"/>
          <w:szCs w:val="20"/>
        </w:rPr>
        <w:t xml:space="preserve"> (DC Cir. 1973).</w:t>
      </w:r>
    </w:p>
    <w:p w14:paraId="1876A32E" w14:textId="77777777" w:rsidR="00D54007" w:rsidRPr="007E1051" w:rsidRDefault="00D5400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Almost 150 years after </w:t>
      </w:r>
      <w:r w:rsidRPr="007E1051">
        <w:rPr>
          <w:rFonts w:ascii="Palatino Linotype" w:hAnsi="Palatino Linotype"/>
          <w:i/>
          <w:iCs/>
          <w:sz w:val="20"/>
          <w:szCs w:val="20"/>
        </w:rPr>
        <w:t>Burr</w:t>
      </w:r>
      <w:r w:rsidRPr="007E1051">
        <w:rPr>
          <w:rFonts w:ascii="Palatino Linotype" w:hAnsi="Palatino Linotype"/>
          <w:sz w:val="20"/>
          <w:szCs w:val="20"/>
        </w:rPr>
        <w:t xml:space="preserve">, the Court reaffirmed this same understanding in </w:t>
      </w:r>
      <w:r w:rsidRPr="007E1051">
        <w:rPr>
          <w:rFonts w:ascii="Palatino Linotype" w:hAnsi="Palatino Linotype"/>
          <w:i/>
          <w:iCs/>
          <w:sz w:val="20"/>
          <w:szCs w:val="20"/>
        </w:rPr>
        <w:t xml:space="preserve">United States </w:t>
      </w:r>
      <w:r w:rsidRPr="007E1051">
        <w:rPr>
          <w:rFonts w:ascii="Palatino Linotype" w:hAnsi="Palatino Linotype"/>
          <w:sz w:val="20"/>
          <w:szCs w:val="20"/>
        </w:rPr>
        <w:t xml:space="preserve">v. </w:t>
      </w:r>
      <w:r w:rsidRPr="007E1051">
        <w:rPr>
          <w:rFonts w:ascii="Palatino Linotype" w:hAnsi="Palatino Linotype"/>
          <w:i/>
          <w:iCs/>
          <w:sz w:val="20"/>
          <w:szCs w:val="20"/>
        </w:rPr>
        <w:t>Reynolds</w:t>
      </w:r>
      <w:r w:rsidRPr="007E1051">
        <w:rPr>
          <w:rFonts w:ascii="Palatino Linotype" w:hAnsi="Palatino Linotype"/>
          <w:iCs/>
          <w:sz w:val="20"/>
          <w:szCs w:val="20"/>
        </w:rPr>
        <w:t xml:space="preserve"> (</w:t>
      </w:r>
      <w:proofErr w:type="gramStart"/>
      <w:r w:rsidRPr="007E1051">
        <w:rPr>
          <w:rFonts w:ascii="Palatino Linotype" w:hAnsi="Palatino Linotype"/>
          <w:iCs/>
          <w:sz w:val="20"/>
          <w:szCs w:val="20"/>
        </w:rPr>
        <w:t>1953). . .</w:t>
      </w:r>
      <w:proofErr w:type="gramEnd"/>
      <w:r w:rsidRPr="007E1051">
        <w:rPr>
          <w:rFonts w:ascii="Palatino Linotype" w:hAnsi="Palatino Linotype"/>
          <w:iCs/>
          <w:sz w:val="20"/>
          <w:szCs w:val="20"/>
        </w:rPr>
        <w:t xml:space="preserve"> . </w:t>
      </w:r>
      <w:r w:rsidRPr="007E1051">
        <w:rPr>
          <w:rFonts w:ascii="Palatino Linotype" w:hAnsi="Palatino Linotype"/>
          <w:sz w:val="20"/>
          <w:szCs w:val="20"/>
        </w:rPr>
        <w:t xml:space="preserve">But under our Constitution, </w:t>
      </w:r>
      <w:r w:rsidRPr="007E1051">
        <w:rPr>
          <w:rFonts w:ascii="Palatino Linotype" w:hAnsi="Palatino Linotype"/>
          <w:i/>
          <w:iCs/>
          <w:sz w:val="20"/>
          <w:szCs w:val="20"/>
        </w:rPr>
        <w:t xml:space="preserve">Reynolds </w:t>
      </w:r>
      <w:r w:rsidRPr="007E1051">
        <w:rPr>
          <w:rFonts w:ascii="Palatino Linotype" w:hAnsi="Palatino Linotype"/>
          <w:sz w:val="20"/>
          <w:szCs w:val="20"/>
        </w:rPr>
        <w:t>emphasized, the Executive may not judge its own case: “Judicial control over the evidence in a case cannot be abdicated to the caprice of executive officers.”</w:t>
      </w:r>
    </w:p>
    <w:p w14:paraId="1A5ECB71" w14:textId="77777777" w:rsidR="00D54007" w:rsidRPr="007E1051" w:rsidRDefault="00182CB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In </w:t>
      </w:r>
      <w:proofErr w:type="gramStart"/>
      <w:r w:rsidRPr="007E1051">
        <w:rPr>
          <w:rFonts w:ascii="Palatino Linotype" w:hAnsi="Palatino Linotype"/>
          <w:sz w:val="20"/>
          <w:szCs w:val="20"/>
        </w:rPr>
        <w:t>this particular, our</w:t>
      </w:r>
      <w:proofErr w:type="gramEnd"/>
      <w:r w:rsidRPr="007E1051">
        <w:rPr>
          <w:rFonts w:ascii="Palatino Linotype" w:hAnsi="Palatino Linotype"/>
          <w:sz w:val="20"/>
          <w:szCs w:val="20"/>
        </w:rPr>
        <w:t xml:space="preserve"> Nation broke from English practice. The Declaration of Independence did not endorse crown prerogatives but described many as evils. The Constitution did not create a President in the King’s image but envisioned an executive regularly checked and balanced by other authorities. Our Founders knew from hard experience the “intolerable abuses” that flow from unchecked executive power.</w:t>
      </w:r>
    </w:p>
    <w:p w14:paraId="41AF7C93" w14:textId="77777777" w:rsidR="00182CB7" w:rsidRPr="007E1051" w:rsidRDefault="00182CB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Nor is their experience an alien one. More recent history reveals that executive officials can sometimes be tempted to misuse claims of national security to shroud major abuses and even ordinary negligence from public view</w:t>
      </w:r>
      <w:proofErr w:type="gramStart"/>
      <w:r w:rsidRPr="007E1051">
        <w:rPr>
          <w:rFonts w:ascii="Palatino Linotype" w:hAnsi="Palatino Linotype"/>
          <w:sz w:val="20"/>
          <w:szCs w:val="20"/>
        </w:rPr>
        <w:t>. . . .</w:t>
      </w:r>
      <w:proofErr w:type="gramEnd"/>
      <w:r w:rsidRPr="007E1051">
        <w:rPr>
          <w:rFonts w:ascii="Palatino Linotype" w:hAnsi="Palatino Linotype"/>
          <w:sz w:val="20"/>
          <w:szCs w:val="20"/>
        </w:rPr>
        <w:t xml:space="preserve"> </w:t>
      </w:r>
    </w:p>
    <w:p w14:paraId="044AFB08" w14:textId="77777777" w:rsidR="00182CB7" w:rsidRPr="007E1051" w:rsidRDefault="00182CB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4B8D1D66" w14:textId="77777777" w:rsidR="00182CB7" w:rsidRPr="007E1051" w:rsidRDefault="00182CB7"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Officials who have served in the Executive Branch have estimated that between 50% and 90% of classified material does not merit that treatment</w:t>
      </w:r>
      <w:proofErr w:type="gramStart"/>
      <w:r w:rsidRPr="007E1051">
        <w:rPr>
          <w:rFonts w:ascii="Palatino Linotype" w:hAnsi="Palatino Linotype"/>
          <w:sz w:val="20"/>
          <w:szCs w:val="20"/>
        </w:rPr>
        <w:t>. . . .</w:t>
      </w:r>
      <w:proofErr w:type="gramEnd"/>
      <w:r w:rsidRPr="007E1051">
        <w:rPr>
          <w:rFonts w:ascii="Palatino Linotype" w:hAnsi="Palatino Linotype"/>
          <w:sz w:val="20"/>
          <w:szCs w:val="20"/>
        </w:rPr>
        <w:t xml:space="preserve"> It seems the government once even classified a memo from one member of the Joint Chi</w:t>
      </w:r>
      <w:r w:rsidR="0092382D" w:rsidRPr="007E1051">
        <w:rPr>
          <w:rFonts w:ascii="Palatino Linotype" w:hAnsi="Palatino Linotype"/>
          <w:sz w:val="20"/>
          <w:szCs w:val="20"/>
        </w:rPr>
        <w:t>efs of Staff to another discuss</w:t>
      </w:r>
      <w:r w:rsidRPr="007E1051">
        <w:rPr>
          <w:rFonts w:ascii="Palatino Linotype" w:hAnsi="Palatino Linotype"/>
          <w:sz w:val="20"/>
          <w:szCs w:val="20"/>
        </w:rPr>
        <w:t>ing how too many documents were being classified.</w:t>
      </w:r>
    </w:p>
    <w:p w14:paraId="7FADB46F" w14:textId="77777777" w:rsidR="0092382D" w:rsidRPr="007E1051" w:rsidRDefault="0092382D"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It may be understandable that those most responsible for the Nation’s security will seek to press every tool available to them to maximum advantage. There has always been something of a “hydraulic pressure inherent within each of the separate Branches” to test “the outer limits of its power.” . . . This Court hardly needs to add fuel to that fire by abdicating any pretense of an independent judicial inquiry into the propriety of a claim of privilege and extending instead “utmost deference” to the Executive’s mere assertion of one. Walking that path would only invite more claims of secrecy in more doubtful circumstances—and facilitate the loss of liberty and due process history shows very often follows.</w:t>
      </w:r>
    </w:p>
    <w:p w14:paraId="45EFF31F" w14:textId="77777777" w:rsidR="0092382D" w:rsidRPr="007E1051" w:rsidRDefault="0092382D"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214EBC36" w14:textId="77777777" w:rsidR="0092382D" w:rsidRPr="007E1051" w:rsidRDefault="0092382D"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The line </w:t>
      </w:r>
      <w:r w:rsidRPr="007E1051">
        <w:rPr>
          <w:rFonts w:ascii="Palatino Linotype" w:hAnsi="Palatino Linotype"/>
          <w:i/>
          <w:iCs/>
          <w:sz w:val="20"/>
          <w:szCs w:val="20"/>
        </w:rPr>
        <w:t xml:space="preserve">Reynolds </w:t>
      </w:r>
      <w:r w:rsidRPr="007E1051">
        <w:rPr>
          <w:rFonts w:ascii="Palatino Linotype" w:hAnsi="Palatino Linotype"/>
          <w:sz w:val="20"/>
          <w:szCs w:val="20"/>
        </w:rPr>
        <w:t>drew seeks to accommodate the separation of powers: It ensures that a congressional mandate to entertain a case or controversy will not be automatically frustrated. It guarantees a degree of independent judicial review. Yet it also seeks to respect the Executive’s specially assigned constitutional responsibilities in the field of foreign affairs and the delicate and complex predictive judgments the Executive often must make there.</w:t>
      </w:r>
    </w:p>
    <w:p w14:paraId="64973630" w14:textId="77777777" w:rsidR="0092382D" w:rsidRPr="007E1051" w:rsidRDefault="0092382D"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1806AFB9" w14:textId="77777777" w:rsidR="0092382D"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Even on its own terms . . . the government’s sub</w:t>
      </w:r>
      <w:r w:rsidR="0092382D" w:rsidRPr="007E1051">
        <w:rPr>
          <w:rFonts w:ascii="Palatino Linotype" w:hAnsi="Palatino Linotype"/>
          <w:sz w:val="20"/>
          <w:szCs w:val="20"/>
        </w:rPr>
        <w:t>mission faces an immedi</w:t>
      </w:r>
      <w:r w:rsidRPr="007E1051">
        <w:rPr>
          <w:rFonts w:ascii="Palatino Linotype" w:hAnsi="Palatino Linotype"/>
          <w:sz w:val="20"/>
          <w:szCs w:val="20"/>
        </w:rPr>
        <w:t>ate problem. What was once a se</w:t>
      </w:r>
      <w:r w:rsidR="0092382D" w:rsidRPr="007E1051">
        <w:rPr>
          <w:rFonts w:ascii="Palatino Linotype" w:hAnsi="Palatino Linotype"/>
          <w:sz w:val="20"/>
          <w:szCs w:val="20"/>
        </w:rPr>
        <w:t>cret can, with the p</w:t>
      </w:r>
      <w:r w:rsidRPr="007E1051">
        <w:rPr>
          <w:rFonts w:ascii="Palatino Linotype" w:hAnsi="Palatino Linotype"/>
          <w:sz w:val="20"/>
          <w:szCs w:val="20"/>
        </w:rPr>
        <w:t>assage of time, become old news</w:t>
      </w:r>
      <w:proofErr w:type="gramStart"/>
      <w:r w:rsidRPr="007E1051">
        <w:rPr>
          <w:rFonts w:ascii="Palatino Linotype" w:hAnsi="Palatino Linotype"/>
          <w:sz w:val="20"/>
          <w:szCs w:val="20"/>
        </w:rPr>
        <w:t>. . . .</w:t>
      </w:r>
      <w:proofErr w:type="gramEnd"/>
    </w:p>
    <w:p w14:paraId="53900F58"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The record before us is stark. </w:t>
      </w:r>
      <w:proofErr w:type="spellStart"/>
      <w:r w:rsidRPr="007E1051">
        <w:rPr>
          <w:rFonts w:ascii="Palatino Linotype" w:hAnsi="Palatino Linotype"/>
          <w:sz w:val="20"/>
          <w:szCs w:val="20"/>
        </w:rPr>
        <w:t>Zubaydah’s</w:t>
      </w:r>
      <w:proofErr w:type="spellEnd"/>
      <w:r w:rsidRPr="007E1051">
        <w:rPr>
          <w:rFonts w:ascii="Palatino Linotype" w:hAnsi="Palatino Linotype"/>
          <w:sz w:val="20"/>
          <w:szCs w:val="20"/>
        </w:rPr>
        <w:t xml:space="preserve"> detention in Poland took place 20 years ago. The location of the CIA’s detention site has been acknowledged by the former Polish President, investigated by the Council of Europe, and proven “beyond reasonable doubt” to the European Court of Human Rights. Doubtless, these disclosures may have done damage to national security interests. But nothing in the record of this case suggests that requiring the government to acknowledge what the world already knows to be true would invite a reasonable danger of additional harm to national security. The government’s only evidence is a declaration couched in conclusory terms, which the District Court found unpersuasive. It rests on the same sort of hypothetical the majority posits </w:t>
      </w:r>
      <w:proofErr w:type="gramStart"/>
      <w:r w:rsidRPr="007E1051">
        <w:rPr>
          <w:rFonts w:ascii="Palatino Linotype" w:hAnsi="Palatino Linotype"/>
          <w:sz w:val="20"/>
          <w:szCs w:val="20"/>
        </w:rPr>
        <w:t>today—making</w:t>
      </w:r>
      <w:proofErr w:type="gramEnd"/>
      <w:r w:rsidRPr="007E1051">
        <w:rPr>
          <w:rFonts w:ascii="Palatino Linotype" w:hAnsi="Palatino Linotype"/>
          <w:sz w:val="20"/>
          <w:szCs w:val="20"/>
        </w:rPr>
        <w:t xml:space="preserve"> no effort to grapple with the particulars of this case.</w:t>
      </w:r>
    </w:p>
    <w:p w14:paraId="58A97337"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 . . . But notice how [the majority] effectively reverses the burden of proof. The majority starts with the government’s conclusory assertion—and then proceeds to place on </w:t>
      </w:r>
      <w:proofErr w:type="spellStart"/>
      <w:r w:rsidRPr="007E1051">
        <w:rPr>
          <w:rFonts w:ascii="Palatino Linotype" w:hAnsi="Palatino Linotype"/>
          <w:sz w:val="20"/>
          <w:szCs w:val="20"/>
        </w:rPr>
        <w:t>Zubaydah</w:t>
      </w:r>
      <w:proofErr w:type="spellEnd"/>
      <w:r w:rsidRPr="007E1051">
        <w:rPr>
          <w:rFonts w:ascii="Palatino Linotype" w:hAnsi="Palatino Linotype"/>
          <w:sz w:val="20"/>
          <w:szCs w:val="20"/>
        </w:rPr>
        <w:t xml:space="preserve"> the burden of disproving </w:t>
      </w:r>
      <w:r w:rsidRPr="007E1051">
        <w:rPr>
          <w:rFonts w:ascii="Palatino Linotype" w:hAnsi="Palatino Linotype"/>
          <w:sz w:val="20"/>
          <w:szCs w:val="20"/>
        </w:rPr>
        <w:lastRenderedPageBreak/>
        <w:t>it. A bare expression of national security concern becomes reason enough to deny the ancient right to every man’s evidence.</w:t>
      </w:r>
    </w:p>
    <w:p w14:paraId="77B5F36C"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xml:space="preserve">This may be a nice move, but it is unpersuasive. Since </w:t>
      </w:r>
      <w:r w:rsidRPr="007E1051">
        <w:rPr>
          <w:rFonts w:ascii="Palatino Linotype" w:hAnsi="Palatino Linotype"/>
          <w:i/>
          <w:iCs/>
          <w:sz w:val="20"/>
          <w:szCs w:val="20"/>
        </w:rPr>
        <w:t>Burr</w:t>
      </w:r>
      <w:r w:rsidRPr="007E1051">
        <w:rPr>
          <w:rFonts w:ascii="Palatino Linotype" w:hAnsi="Palatino Linotype"/>
          <w:sz w:val="20"/>
          <w:szCs w:val="20"/>
        </w:rPr>
        <w:t xml:space="preserve">, this Court has held that the Executive must do more than assert a harm to national security “might” follow from producing evidence. Since </w:t>
      </w:r>
      <w:r w:rsidRPr="007E1051">
        <w:rPr>
          <w:rFonts w:ascii="Palatino Linotype" w:hAnsi="Palatino Linotype"/>
          <w:i/>
          <w:iCs/>
          <w:sz w:val="20"/>
          <w:szCs w:val="20"/>
        </w:rPr>
        <w:t>Reynolds</w:t>
      </w:r>
      <w:r w:rsidRPr="007E1051">
        <w:rPr>
          <w:rFonts w:ascii="Palatino Linotype" w:hAnsi="Palatino Linotype"/>
          <w:sz w:val="20"/>
          <w:szCs w:val="20"/>
        </w:rPr>
        <w:t>, this Court has required a “reasonable,” not a speculative, showing of harm. If the government could withhold evidence and even compel the dismissal of lawsuits based on nothing more than a conclusory assertion of national security concerns—and if the burden fell on private persons to disprove those concerns—it is hard to imagine what case a court could not be forced to close. That kind of executive prerogative might have once been part of the law of England; it has never been the law here.</w:t>
      </w:r>
    </w:p>
    <w:p w14:paraId="1A486C66"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677349C3"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In failing to give careful consideration to potential safeguards that would allow this case to proceed, the plurality defies a central and consistent teaching of this Court’s state secrets jurisprudence—that executive claims of privilege in congressionally authorized proceedings are not to be reflexively accepted, and remedies short of dismissal must be preferred</w:t>
      </w:r>
      <w:proofErr w:type="gramStart"/>
      <w:r w:rsidRPr="007E1051">
        <w:rPr>
          <w:rFonts w:ascii="Palatino Linotype" w:hAnsi="Palatino Linotype"/>
          <w:sz w:val="20"/>
          <w:szCs w:val="20"/>
        </w:rPr>
        <w:t>. . . .</w:t>
      </w:r>
      <w:proofErr w:type="gramEnd"/>
      <w:r w:rsidRPr="007E1051">
        <w:rPr>
          <w:rFonts w:ascii="Palatino Linotype" w:hAnsi="Palatino Linotype"/>
          <w:sz w:val="20"/>
          <w:szCs w:val="20"/>
        </w:rPr>
        <w:t xml:space="preserve"> </w:t>
      </w:r>
    </w:p>
    <w:p w14:paraId="4CE1AD55"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p w14:paraId="08C37A83"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 We do not have in this case a question about how far to probe the government’s privilege claim; we have not probed that claim at all. We have replaced independent inquiry with a rubber stamp.</w:t>
      </w:r>
    </w:p>
    <w:p w14:paraId="4E3FA4E4" w14:textId="77777777" w:rsidR="00D2167C" w:rsidRPr="007E1051" w:rsidRDefault="00D2167C" w:rsidP="00215B8A">
      <w:pPr>
        <w:pStyle w:val="loose"/>
        <w:spacing w:before="0" w:beforeAutospacing="0" w:after="0" w:afterAutospacing="0" w:line="240" w:lineRule="auto"/>
        <w:ind w:firstLine="720"/>
        <w:jc w:val="both"/>
        <w:rPr>
          <w:rFonts w:ascii="Palatino Linotype" w:hAnsi="Palatino Linotype"/>
          <w:sz w:val="20"/>
          <w:szCs w:val="20"/>
        </w:rPr>
      </w:pPr>
      <w:r w:rsidRPr="007E1051">
        <w:rPr>
          <w:rFonts w:ascii="Palatino Linotype" w:hAnsi="Palatino Linotype"/>
          <w:sz w:val="20"/>
          <w:szCs w:val="20"/>
        </w:rPr>
        <w:t>. . . .</w:t>
      </w:r>
    </w:p>
    <w:sectPr w:rsidR="00D2167C" w:rsidRPr="007E1051" w:rsidSect="00E8070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1F62" w14:textId="77777777" w:rsidR="00405E50" w:rsidRDefault="00405E50" w:rsidP="002F64CB">
      <w:r>
        <w:separator/>
      </w:r>
    </w:p>
  </w:endnote>
  <w:endnote w:type="continuationSeparator" w:id="0">
    <w:p w14:paraId="44D18165" w14:textId="77777777" w:rsidR="00405E50" w:rsidRDefault="00405E50" w:rsidP="002F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70143"/>
      <w:docPartObj>
        <w:docPartGallery w:val="Page Numbers (Bottom of Page)"/>
        <w:docPartUnique/>
      </w:docPartObj>
    </w:sdtPr>
    <w:sdtEndPr>
      <w:rPr>
        <w:rFonts w:ascii="Palatino" w:hAnsi="Palatino"/>
        <w:noProof/>
        <w:sz w:val="20"/>
        <w:szCs w:val="20"/>
      </w:rPr>
    </w:sdtEndPr>
    <w:sdtContent>
      <w:p w14:paraId="61FCB60F" w14:textId="77777777" w:rsidR="002F64CB" w:rsidRPr="00D82926" w:rsidRDefault="00E8070F">
        <w:pPr>
          <w:pStyle w:val="Footer"/>
          <w:jc w:val="center"/>
          <w:rPr>
            <w:rFonts w:ascii="Palatino" w:hAnsi="Palatino"/>
            <w:sz w:val="20"/>
            <w:szCs w:val="20"/>
          </w:rPr>
        </w:pPr>
        <w:r w:rsidRPr="00D82926">
          <w:rPr>
            <w:rFonts w:ascii="Palatino" w:hAnsi="Palatino"/>
            <w:sz w:val="20"/>
            <w:szCs w:val="20"/>
          </w:rPr>
          <w:fldChar w:fldCharType="begin"/>
        </w:r>
        <w:r w:rsidRPr="00D82926">
          <w:rPr>
            <w:rFonts w:ascii="Palatino" w:hAnsi="Palatino"/>
            <w:sz w:val="20"/>
            <w:szCs w:val="20"/>
          </w:rPr>
          <w:instrText xml:space="preserve"> PAGE   \* MERGEFORMAT </w:instrText>
        </w:r>
        <w:r w:rsidRPr="00D82926">
          <w:rPr>
            <w:rFonts w:ascii="Palatino" w:hAnsi="Palatino"/>
            <w:sz w:val="20"/>
            <w:szCs w:val="20"/>
          </w:rPr>
          <w:fldChar w:fldCharType="separate"/>
        </w:r>
        <w:r w:rsidR="0087019E">
          <w:rPr>
            <w:rFonts w:ascii="Palatino" w:hAnsi="Palatino"/>
            <w:noProof/>
            <w:sz w:val="20"/>
            <w:szCs w:val="20"/>
          </w:rPr>
          <w:t>1</w:t>
        </w:r>
        <w:r w:rsidRPr="00D82926">
          <w:rPr>
            <w:rFonts w:ascii="Palatino" w:hAnsi="Palatino"/>
            <w:noProof/>
            <w:sz w:val="20"/>
            <w:szCs w:val="20"/>
          </w:rPr>
          <w:fldChar w:fldCharType="end"/>
        </w:r>
      </w:p>
    </w:sdtContent>
  </w:sdt>
  <w:p w14:paraId="36E14886" w14:textId="77777777" w:rsidR="002F64CB" w:rsidRDefault="002F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21B1" w14:textId="77777777" w:rsidR="00405E50" w:rsidRDefault="00405E50" w:rsidP="002F64CB">
      <w:r>
        <w:separator/>
      </w:r>
    </w:p>
  </w:footnote>
  <w:footnote w:type="continuationSeparator" w:id="0">
    <w:p w14:paraId="277C51C9" w14:textId="77777777" w:rsidR="00405E50" w:rsidRDefault="00405E50" w:rsidP="002F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CB"/>
    <w:rsid w:val="0003691B"/>
    <w:rsid w:val="00074848"/>
    <w:rsid w:val="000852A0"/>
    <w:rsid w:val="00094E4D"/>
    <w:rsid w:val="000A14E3"/>
    <w:rsid w:val="000B5CD9"/>
    <w:rsid w:val="00130A42"/>
    <w:rsid w:val="00182CB7"/>
    <w:rsid w:val="001C60E2"/>
    <w:rsid w:val="001D3ECC"/>
    <w:rsid w:val="001F1434"/>
    <w:rsid w:val="00215B8A"/>
    <w:rsid w:val="00222864"/>
    <w:rsid w:val="00244B68"/>
    <w:rsid w:val="002630A2"/>
    <w:rsid w:val="00296158"/>
    <w:rsid w:val="002F64CB"/>
    <w:rsid w:val="003026FC"/>
    <w:rsid w:val="003209F7"/>
    <w:rsid w:val="003419CD"/>
    <w:rsid w:val="003840B7"/>
    <w:rsid w:val="003B4EF6"/>
    <w:rsid w:val="003C712A"/>
    <w:rsid w:val="00405E50"/>
    <w:rsid w:val="00411A58"/>
    <w:rsid w:val="00430DB4"/>
    <w:rsid w:val="00431909"/>
    <w:rsid w:val="00442597"/>
    <w:rsid w:val="00445B19"/>
    <w:rsid w:val="00485447"/>
    <w:rsid w:val="004863F9"/>
    <w:rsid w:val="00490836"/>
    <w:rsid w:val="004A7E3D"/>
    <w:rsid w:val="004C1F15"/>
    <w:rsid w:val="00503F79"/>
    <w:rsid w:val="0051461E"/>
    <w:rsid w:val="00567085"/>
    <w:rsid w:val="005E58C4"/>
    <w:rsid w:val="0060397B"/>
    <w:rsid w:val="00683143"/>
    <w:rsid w:val="00690EC6"/>
    <w:rsid w:val="006C488C"/>
    <w:rsid w:val="006F397A"/>
    <w:rsid w:val="00760B96"/>
    <w:rsid w:val="007715D3"/>
    <w:rsid w:val="007A44FC"/>
    <w:rsid w:val="007C6693"/>
    <w:rsid w:val="007E1051"/>
    <w:rsid w:val="00836F79"/>
    <w:rsid w:val="008568FC"/>
    <w:rsid w:val="0087019E"/>
    <w:rsid w:val="008739EA"/>
    <w:rsid w:val="00891341"/>
    <w:rsid w:val="008C1797"/>
    <w:rsid w:val="0092382D"/>
    <w:rsid w:val="009C0A47"/>
    <w:rsid w:val="009E3EED"/>
    <w:rsid w:val="009F5AF0"/>
    <w:rsid w:val="00A26E22"/>
    <w:rsid w:val="00A935E1"/>
    <w:rsid w:val="00B05D39"/>
    <w:rsid w:val="00B813C1"/>
    <w:rsid w:val="00B9428A"/>
    <w:rsid w:val="00B9758A"/>
    <w:rsid w:val="00BA0A2F"/>
    <w:rsid w:val="00BB64EC"/>
    <w:rsid w:val="00BD1324"/>
    <w:rsid w:val="00BD6CEC"/>
    <w:rsid w:val="00BE298E"/>
    <w:rsid w:val="00C240C8"/>
    <w:rsid w:val="00C36E40"/>
    <w:rsid w:val="00CB4CB8"/>
    <w:rsid w:val="00CC59BB"/>
    <w:rsid w:val="00CF373E"/>
    <w:rsid w:val="00CF79A3"/>
    <w:rsid w:val="00D2167C"/>
    <w:rsid w:val="00D34D12"/>
    <w:rsid w:val="00D54007"/>
    <w:rsid w:val="00D82926"/>
    <w:rsid w:val="00DB00E1"/>
    <w:rsid w:val="00DE2C5B"/>
    <w:rsid w:val="00DF7A85"/>
    <w:rsid w:val="00E67F73"/>
    <w:rsid w:val="00E8070F"/>
    <w:rsid w:val="00F47210"/>
    <w:rsid w:val="00F60C8C"/>
    <w:rsid w:val="00F716F5"/>
    <w:rsid w:val="00F82F2B"/>
    <w:rsid w:val="00FB0A28"/>
    <w:rsid w:val="00FD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596EC"/>
  <w15:docId w15:val="{5F8F8013-9B79-4188-8EA5-D2429C8F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2F64CB"/>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64CB"/>
    <w:pPr>
      <w:tabs>
        <w:tab w:val="center" w:pos="4680"/>
        <w:tab w:val="right" w:pos="9360"/>
      </w:tabs>
    </w:pPr>
  </w:style>
  <w:style w:type="character" w:customStyle="1" w:styleId="HeaderChar">
    <w:name w:val="Header Char"/>
    <w:basedOn w:val="DefaultParagraphFont"/>
    <w:link w:val="Header"/>
    <w:uiPriority w:val="99"/>
    <w:rsid w:val="002F64CB"/>
  </w:style>
  <w:style w:type="paragraph" w:styleId="Footer">
    <w:name w:val="footer"/>
    <w:basedOn w:val="Normal"/>
    <w:link w:val="FooterChar"/>
    <w:uiPriority w:val="99"/>
    <w:unhideWhenUsed/>
    <w:rsid w:val="002F64CB"/>
    <w:pPr>
      <w:tabs>
        <w:tab w:val="center" w:pos="4680"/>
        <w:tab w:val="right" w:pos="9360"/>
      </w:tabs>
    </w:pPr>
  </w:style>
  <w:style w:type="character" w:customStyle="1" w:styleId="FooterChar">
    <w:name w:val="Footer Char"/>
    <w:basedOn w:val="DefaultParagraphFont"/>
    <w:link w:val="Footer"/>
    <w:uiPriority w:val="99"/>
    <w:rsid w:val="002F64CB"/>
  </w:style>
  <w:style w:type="character" w:customStyle="1" w:styleId="verdana">
    <w:name w:val="verdana"/>
    <w:basedOn w:val="DefaultParagraphFont"/>
    <w:rsid w:val="002F64CB"/>
  </w:style>
  <w:style w:type="character" w:styleId="Hyperlink">
    <w:name w:val="Hyperlink"/>
    <w:basedOn w:val="DefaultParagraphFont"/>
    <w:uiPriority w:val="99"/>
    <w:semiHidden/>
    <w:unhideWhenUsed/>
    <w:rsid w:val="002F64CB"/>
    <w:rPr>
      <w:color w:val="0000FF"/>
      <w:u w:val="single"/>
    </w:rPr>
  </w:style>
  <w:style w:type="paragraph" w:styleId="BalloonText">
    <w:name w:val="Balloon Text"/>
    <w:basedOn w:val="Normal"/>
    <w:link w:val="BalloonTextChar"/>
    <w:uiPriority w:val="99"/>
    <w:semiHidden/>
    <w:unhideWhenUsed/>
    <w:rsid w:val="002F64CB"/>
    <w:rPr>
      <w:rFonts w:ascii="Tahoma" w:hAnsi="Tahoma" w:cs="Tahoma"/>
      <w:sz w:val="16"/>
      <w:szCs w:val="16"/>
    </w:rPr>
  </w:style>
  <w:style w:type="character" w:customStyle="1" w:styleId="BalloonTextChar">
    <w:name w:val="Balloon Text Char"/>
    <w:basedOn w:val="DefaultParagraphFont"/>
    <w:link w:val="BalloonText"/>
    <w:uiPriority w:val="99"/>
    <w:semiHidden/>
    <w:rsid w:val="002F64CB"/>
    <w:rPr>
      <w:rFonts w:ascii="Tahoma" w:hAnsi="Tahoma" w:cs="Tahoma"/>
      <w:sz w:val="16"/>
      <w:szCs w:val="16"/>
    </w:rPr>
  </w:style>
  <w:style w:type="character" w:customStyle="1" w:styleId="italic">
    <w:name w:val="italic"/>
    <w:basedOn w:val="DefaultParagraphFont"/>
    <w:rsid w:val="0009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7</cp:revision>
  <dcterms:created xsi:type="dcterms:W3CDTF">2022-06-29T14:17:00Z</dcterms:created>
  <dcterms:modified xsi:type="dcterms:W3CDTF">2023-01-27T14:46:00Z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2023-01-27T14:46:21Z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b8518414-dd58-4ca6-bdaa-47933a07f767</vt:lpwstr>
  </property>
  <property fmtid="{D5CDD505-2E9C-101B-9397-08002B2CF9AE}" pid="8" name="MSIP_Label_be5cb09a-2992-49d6-8ac9-5f63e7b1ad2f_ContentBits">
    <vt:lpwstr>0</vt:lpwstr>
  </property>
</Properties>
</file>