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95887" w14:textId="432D12A3" w:rsidR="00E903EC" w:rsidRPr="00AD1C3F" w:rsidRDefault="00680A83" w:rsidP="00E903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0"/>
        <w:jc w:val="center"/>
        <w:rPr>
          <w:rFonts w:eastAsiaTheme="minorHAnsi"/>
          <w:b/>
          <w:iCs/>
          <w:sz w:val="36"/>
          <w:szCs w:val="36"/>
          <w:lang w:val="en-CA"/>
        </w:rPr>
      </w:pPr>
      <w:r w:rsidRPr="00AD1C3F">
        <w:rPr>
          <w:rFonts w:eastAsiaTheme="minorHAnsi"/>
          <w:b/>
          <w:iCs/>
          <w:sz w:val="36"/>
          <w:szCs w:val="36"/>
          <w:lang w:val="en-CA"/>
        </w:rPr>
        <w:t>Chapter Outline</w:t>
      </w:r>
    </w:p>
    <w:p w14:paraId="49C5F85A" w14:textId="77777777" w:rsidR="00E903EC" w:rsidRPr="004B0724" w:rsidRDefault="00E903EC" w:rsidP="00E903EC">
      <w:pPr>
        <w:pStyle w:val="head2"/>
        <w:tabs>
          <w:tab w:val="left" w:pos="0"/>
        </w:tabs>
        <w:spacing w:before="0" w:after="0" w:line="240" w:lineRule="auto"/>
        <w:jc w:val="center"/>
        <w:rPr>
          <w:rFonts w:ascii="Times New Roman" w:hAnsi="Times New Roman"/>
          <w:b w:val="0"/>
          <w:sz w:val="24"/>
          <w:szCs w:val="24"/>
          <w:lang w:val="en-CA"/>
        </w:rPr>
      </w:pPr>
      <w:r w:rsidRPr="004B0724">
        <w:rPr>
          <w:rFonts w:ascii="Times New Roman" w:hAnsi="Times New Roman"/>
          <w:b w:val="0"/>
          <w:sz w:val="24"/>
          <w:szCs w:val="24"/>
          <w:lang w:val="en-CA"/>
        </w:rPr>
        <w:t>to accompany</w:t>
      </w:r>
    </w:p>
    <w:p w14:paraId="4AD56F35" w14:textId="77777777" w:rsidR="00E903EC" w:rsidRPr="004B0724" w:rsidRDefault="00E903EC" w:rsidP="00E903EC">
      <w:pPr>
        <w:pStyle w:val="head2"/>
        <w:tabs>
          <w:tab w:val="left" w:pos="0"/>
        </w:tabs>
        <w:spacing w:before="0" w:after="0" w:line="240" w:lineRule="auto"/>
        <w:jc w:val="center"/>
        <w:rPr>
          <w:rFonts w:ascii="Times New Roman" w:hAnsi="Times New Roman"/>
          <w:bCs/>
          <w:sz w:val="28"/>
          <w:szCs w:val="28"/>
          <w:lang w:val="en-CA"/>
        </w:rPr>
      </w:pPr>
      <w:r w:rsidRPr="004B0724">
        <w:rPr>
          <w:rFonts w:ascii="Times New Roman" w:hAnsi="Times New Roman"/>
          <w:bCs/>
          <w:i/>
          <w:sz w:val="28"/>
          <w:szCs w:val="28"/>
          <w:lang w:val="en-CA"/>
        </w:rPr>
        <w:t>Indigenous Peoples within Canada: A Concise History</w:t>
      </w:r>
      <w:r w:rsidRPr="004B0724">
        <w:rPr>
          <w:rFonts w:ascii="Times New Roman" w:hAnsi="Times New Roman"/>
          <w:b w:val="0"/>
          <w:bCs/>
          <w:sz w:val="28"/>
          <w:szCs w:val="28"/>
          <w:lang w:val="en-CA"/>
        </w:rPr>
        <w:t>,</w:t>
      </w:r>
      <w:r w:rsidRPr="004B0724">
        <w:rPr>
          <w:rFonts w:ascii="Times New Roman" w:hAnsi="Times New Roman"/>
          <w:bCs/>
          <w:sz w:val="28"/>
          <w:szCs w:val="28"/>
          <w:lang w:val="en-CA"/>
        </w:rPr>
        <w:t xml:space="preserve"> Fifth Edition</w:t>
      </w:r>
    </w:p>
    <w:p w14:paraId="79182E46" w14:textId="77777777" w:rsidR="00E903EC" w:rsidRPr="004B0724" w:rsidRDefault="00E903EC" w:rsidP="00E903EC">
      <w:pPr>
        <w:pStyle w:val="head2"/>
        <w:tabs>
          <w:tab w:val="left" w:pos="0"/>
        </w:tabs>
        <w:spacing w:before="0" w:after="0" w:line="240" w:lineRule="auto"/>
        <w:jc w:val="center"/>
        <w:rPr>
          <w:rFonts w:ascii="Times New Roman" w:hAnsi="Times New Roman"/>
          <w:b w:val="0"/>
          <w:sz w:val="28"/>
          <w:szCs w:val="28"/>
          <w:lang w:val="en-CA"/>
        </w:rPr>
      </w:pPr>
      <w:r w:rsidRPr="004B0724">
        <w:rPr>
          <w:rFonts w:ascii="Times New Roman" w:hAnsi="Times New Roman"/>
          <w:b w:val="0"/>
          <w:sz w:val="28"/>
          <w:szCs w:val="28"/>
          <w:lang w:val="en-CA"/>
        </w:rPr>
        <w:t>Dickason, Newbigging, and Miller</w:t>
      </w:r>
    </w:p>
    <w:p w14:paraId="2FB43475" w14:textId="77777777" w:rsidR="00E903EC" w:rsidRPr="004B0724" w:rsidRDefault="00E903EC" w:rsidP="00E903EC">
      <w:pPr>
        <w:tabs>
          <w:tab w:val="left" w:pos="0"/>
        </w:tabs>
        <w:jc w:val="center"/>
        <w:rPr>
          <w:b/>
          <w:sz w:val="28"/>
          <w:szCs w:val="28"/>
          <w:lang w:val="en-CA"/>
        </w:rPr>
      </w:pPr>
    </w:p>
    <w:p w14:paraId="2F4D3E41" w14:textId="62022AD2" w:rsidR="00E903EC" w:rsidRPr="005C73DB" w:rsidRDefault="00E903EC" w:rsidP="77B040BF">
      <w:pPr>
        <w:jc w:val="center"/>
        <w:rPr>
          <w:b/>
          <w:bCs/>
          <w:sz w:val="32"/>
          <w:szCs w:val="32"/>
          <w:lang w:val="en-CA"/>
        </w:rPr>
      </w:pPr>
      <w:r w:rsidRPr="77B040BF">
        <w:rPr>
          <w:b/>
          <w:bCs/>
          <w:sz w:val="32"/>
          <w:szCs w:val="32"/>
          <w:lang w:val="en-CA"/>
        </w:rPr>
        <w:t>Chapter 11: Toward Confederation for Canada, Toward Wardship for Indigenous Peoples</w:t>
      </w:r>
    </w:p>
    <w:p w14:paraId="0DC2C6BA" w14:textId="77777777" w:rsidR="00402FB1" w:rsidRPr="00402FB1" w:rsidRDefault="00402FB1" w:rsidP="00E903EC">
      <w:pPr>
        <w:ind w:left="0"/>
        <w:contextualSpacing/>
        <w:jc w:val="both"/>
      </w:pPr>
    </w:p>
    <w:p w14:paraId="773C22AA" w14:textId="77777777" w:rsidR="00402FB1" w:rsidRPr="00402FB1" w:rsidRDefault="00402FB1" w:rsidP="00C4709E">
      <w:pPr>
        <w:ind w:left="0"/>
        <w:contextualSpacing/>
        <w:jc w:val="both"/>
      </w:pPr>
    </w:p>
    <w:p w14:paraId="53FF1B53" w14:textId="2472F95B" w:rsidR="00402FB1" w:rsidRPr="00402FB1" w:rsidRDefault="79BE2F83" w:rsidP="77B040BF">
      <w:pPr>
        <w:ind w:left="0"/>
        <w:contextualSpacing/>
        <w:jc w:val="both"/>
      </w:pPr>
      <w:r>
        <w:t xml:space="preserve">The purpose of the chapter is to examine the expanding administration of Indian Affairs as policy development continued toward Confederation. The chapter concludes with an analysis of the Red River crisis of 1869–70. In a process that has become so common in Canada today, the 1840s saw a number of what would be termed </w:t>
      </w:r>
      <w:r w:rsidRPr="0FF234F2">
        <w:rPr>
          <w:i/>
          <w:iCs/>
        </w:rPr>
        <w:t>Royal Commissions</w:t>
      </w:r>
      <w:r>
        <w:t xml:space="preserve"> with the intent of coming up with solutions for the </w:t>
      </w:r>
      <w:r w:rsidR="606B3154">
        <w:t>“</w:t>
      </w:r>
      <w:r>
        <w:t xml:space="preserve">Indian </w:t>
      </w:r>
      <w:r w:rsidR="108E3F65">
        <w:t>problem". The</w:t>
      </w:r>
      <w:r>
        <w:t xml:space="preserve"> most influential of these was the Bagot Commission of 1842–44. Among other </w:t>
      </w:r>
      <w:r w:rsidR="0D3F67CB">
        <w:t>findings,</w:t>
      </w:r>
      <w:r>
        <w:t xml:space="preserve"> the Commission recommended the public announcement of the survey of reserves and the boundaries of such reserves</w:t>
      </w:r>
      <w:r w:rsidR="416BE47D">
        <w:t>;</w:t>
      </w:r>
      <w:r>
        <w:t xml:space="preserve"> that all title deeds for land sold or purchased by Indigenous Peoples be registered</w:t>
      </w:r>
      <w:r w:rsidR="183A4B3A">
        <w:t>;</w:t>
      </w:r>
      <w:r>
        <w:t xml:space="preserve"> and that </w:t>
      </w:r>
      <w:r w:rsidR="01598A01">
        <w:t>I</w:t>
      </w:r>
      <w:r w:rsidR="1834322B">
        <w:t xml:space="preserve">ndigenous </w:t>
      </w:r>
      <w:r w:rsidR="2F702705">
        <w:t xml:space="preserve">Peoples </w:t>
      </w:r>
      <w:r>
        <w:t>be taught techniques of land management and be provided with such resources as livestock and agricultural implements.</w:t>
      </w:r>
      <w:r w:rsidRPr="00F70A9F">
        <w:t xml:space="preserve"> </w:t>
      </w:r>
      <w:r w:rsidR="37664D07" w:rsidRPr="00F70A9F">
        <w:t xml:space="preserve">The focus of the commission was the continued goal of assimilating Indigenous </w:t>
      </w:r>
      <w:r w:rsidR="243C3C5A" w:rsidRPr="00F70A9F">
        <w:t>P</w:t>
      </w:r>
      <w:r w:rsidR="37664D07" w:rsidRPr="00F70A9F">
        <w:t xml:space="preserve">eoples. </w:t>
      </w:r>
      <w:r>
        <w:t>In 1850–51 the Canadian legislature approved two pieces of legislation, incorporating some of Bagot</w:t>
      </w:r>
      <w:r w:rsidR="606B3154">
        <w:t>’</w:t>
      </w:r>
      <w:r>
        <w:t>s recommendations.</w:t>
      </w:r>
    </w:p>
    <w:p w14:paraId="5663C9C2" w14:textId="77777777" w:rsidR="00402FB1" w:rsidRPr="00402FB1" w:rsidRDefault="00402FB1" w:rsidP="00C4709E">
      <w:pPr>
        <w:ind w:left="0"/>
        <w:contextualSpacing/>
        <w:jc w:val="both"/>
      </w:pPr>
    </w:p>
    <w:p w14:paraId="118A722B" w14:textId="3C3ABF7F" w:rsidR="00402FB1" w:rsidRPr="00402FB1" w:rsidRDefault="79BE2F83" w:rsidP="77B040BF">
      <w:pPr>
        <w:ind w:left="0"/>
        <w:contextualSpacing/>
        <w:jc w:val="both"/>
      </w:pPr>
      <w:r>
        <w:t xml:space="preserve">The most influential legislation was the </w:t>
      </w:r>
      <w:r w:rsidRPr="00BB748B">
        <w:t>185</w:t>
      </w:r>
      <w:r w:rsidR="4058A957" w:rsidRPr="00BB748B">
        <w:t>0</w:t>
      </w:r>
      <w:r w:rsidRPr="00BB748B">
        <w:t xml:space="preserve"> </w:t>
      </w:r>
      <w:r w:rsidR="5DB628EE" w:rsidRPr="00BB748B">
        <w:rPr>
          <w:i/>
          <w:iCs/>
          <w:lang w:val="en-CA"/>
        </w:rPr>
        <w:t>Act for the Better Protection of the Lands and Property of the Indians in Lower Canada</w:t>
      </w:r>
      <w:r w:rsidR="5DB628EE" w:rsidRPr="00BB748B">
        <w:t xml:space="preserve"> </w:t>
      </w:r>
      <w:r>
        <w:t>because</w:t>
      </w:r>
      <w:r w:rsidR="7BAC01B6">
        <w:t xml:space="preserve">, as it sought to determine who could legally </w:t>
      </w:r>
      <w:r w:rsidR="7BAC01B6" w:rsidRPr="77B040BF">
        <w:rPr>
          <w:color w:val="000000" w:themeColor="text1"/>
        </w:rPr>
        <w:t>be within Indigenous spaces not yet acquired through treaty,</w:t>
      </w:r>
      <w:r>
        <w:t xml:space="preserve"> it provided a formal definition of who an </w:t>
      </w:r>
      <w:r w:rsidR="00C5058C">
        <w:t>“</w:t>
      </w:r>
      <w:r>
        <w:t>Indian</w:t>
      </w:r>
      <w:r w:rsidR="00C5058C">
        <w:t>”</w:t>
      </w:r>
      <w:r>
        <w:t xml:space="preserve"> was under law. This definition would be adapted and become the definition that Canada uses until </w:t>
      </w:r>
      <w:r w:rsidR="606B3154">
        <w:t xml:space="preserve">the </w:t>
      </w:r>
      <w:r>
        <w:t>present day. It introduced the concept of status versus non-status Indians. As the result of a formal definition, existing mechanisms were then put in place to remove a person</w:t>
      </w:r>
      <w:r w:rsidR="606B3154">
        <w:t>’</w:t>
      </w:r>
      <w:r>
        <w:t xml:space="preserve">s status as </w:t>
      </w:r>
      <w:r w:rsidR="606B3154">
        <w:t>he or she</w:t>
      </w:r>
      <w:r>
        <w:t xml:space="preserve"> became assimilated. This would be accomplished through a process called </w:t>
      </w:r>
      <w:r w:rsidRPr="77B040BF">
        <w:rPr>
          <w:i/>
          <w:iCs/>
        </w:rPr>
        <w:t>enfranchisement</w:t>
      </w:r>
      <w:r>
        <w:t xml:space="preserve"> and was first introduced in the 1857 </w:t>
      </w:r>
      <w:r w:rsidR="58C86F3B" w:rsidRPr="77B040BF">
        <w:rPr>
          <w:i/>
          <w:iCs/>
          <w:color w:val="000000" w:themeColor="text1"/>
          <w:lang w:val="en-GB"/>
        </w:rPr>
        <w:t xml:space="preserve">An Act to Encourage the Gradual Civilization of the Indian </w:t>
      </w:r>
      <w:r w:rsidR="58C86F3B" w:rsidRPr="005C6310">
        <w:rPr>
          <w:i/>
          <w:iCs/>
          <w:lang w:val="en-GB"/>
        </w:rPr>
        <w:t xml:space="preserve">Tribes </w:t>
      </w:r>
      <w:r w:rsidR="58C86F3B" w:rsidRPr="005C6310">
        <w:rPr>
          <w:i/>
          <w:iCs/>
          <w:lang w:val="en-CA"/>
        </w:rPr>
        <w:t>in this Province, and to Amend the Laws Respecting Indians</w:t>
      </w:r>
      <w:r w:rsidR="007B4BED" w:rsidRPr="005C6310">
        <w:rPr>
          <w:i/>
          <w:iCs/>
          <w:lang w:val="en-CA"/>
        </w:rPr>
        <w:t>.</w:t>
      </w:r>
      <w:r w:rsidR="58C86F3B" w:rsidRPr="77B040BF">
        <w:t xml:space="preserve"> </w:t>
      </w:r>
      <w:r>
        <w:t>However, the requirements that had to be met for enfranchisement were extremely high and</w:t>
      </w:r>
      <w:r w:rsidR="01598A01">
        <w:t xml:space="preserve"> First Nations also resisted the</w:t>
      </w:r>
      <w:r w:rsidR="21A6CC8C">
        <w:t xml:space="preserve"> idea of</w:t>
      </w:r>
      <w:r w:rsidR="01598A01">
        <w:t xml:space="preserve"> reserve allotment </w:t>
      </w:r>
      <w:r w:rsidR="21A6CC8C">
        <w:t xml:space="preserve">that accompanied the </w:t>
      </w:r>
      <w:r w:rsidR="01598A01">
        <w:t>process</w:t>
      </w:r>
      <w:r w:rsidR="21A6CC8C">
        <w:t>. By 1876, only one person had been enfranchised.</w:t>
      </w:r>
    </w:p>
    <w:p w14:paraId="43FEDFFD" w14:textId="77777777" w:rsidR="00402FB1" w:rsidRPr="00402FB1" w:rsidRDefault="00402FB1" w:rsidP="00C4709E">
      <w:pPr>
        <w:ind w:left="0"/>
        <w:contextualSpacing/>
        <w:jc w:val="both"/>
      </w:pPr>
    </w:p>
    <w:p w14:paraId="49399550" w14:textId="21CA7E71" w:rsidR="00402FB1" w:rsidRPr="00402FB1" w:rsidRDefault="00544387" w:rsidP="00C4709E">
      <w:pPr>
        <w:ind w:left="0"/>
        <w:contextualSpacing/>
        <w:jc w:val="both"/>
      </w:pPr>
      <w:r>
        <w:t>The c</w:t>
      </w:r>
      <w:r w:rsidR="003B1008">
        <w:t xml:space="preserve">hapter </w:t>
      </w:r>
      <w:r>
        <w:t>also examines the process of t</w:t>
      </w:r>
      <w:r w:rsidR="003B1008">
        <w:t>reaty</w:t>
      </w:r>
      <w:r>
        <w:t>-</w:t>
      </w:r>
      <w:r w:rsidR="003B1008">
        <w:t xml:space="preserve">making and </w:t>
      </w:r>
      <w:r w:rsidR="009F19CC">
        <w:t xml:space="preserve">the </w:t>
      </w:r>
      <w:r w:rsidR="003B1008">
        <w:t>establish</w:t>
      </w:r>
      <w:r w:rsidR="009F19CC">
        <w:t xml:space="preserve">ment of </w:t>
      </w:r>
      <w:r w:rsidR="003B1008">
        <w:t xml:space="preserve">reserve boundaries. Beginning with the Robinson Treaties of 1850, land cessions increasingly became the process through which </w:t>
      </w:r>
      <w:r w:rsidR="000617B5">
        <w:t>Indigenous P</w:t>
      </w:r>
      <w:r w:rsidR="003B1008">
        <w:t xml:space="preserve">eoples would lose their lands. Lands were surrendered only to the Crown, and reserves to be held in common were annexed to each treaty. First Peoples retained the privilege of hunting and fishing </w:t>
      </w:r>
      <w:r w:rsidR="3C1469AC">
        <w:t>in</w:t>
      </w:r>
      <w:r w:rsidR="003B1008">
        <w:t xml:space="preserve"> those territories except for portions allotted for specific uses. </w:t>
      </w:r>
      <w:r w:rsidR="003B1008">
        <w:lastRenderedPageBreak/>
        <w:t>These treaties marked the beginning of the government</w:t>
      </w:r>
      <w:r>
        <w:t>’</w:t>
      </w:r>
      <w:r w:rsidR="003B1008">
        <w:t xml:space="preserve">s paternalistic position of viewing </w:t>
      </w:r>
      <w:r w:rsidR="009F19CC">
        <w:t xml:space="preserve">Indigenous </w:t>
      </w:r>
      <w:r w:rsidR="000617B5">
        <w:t xml:space="preserve">Peoples </w:t>
      </w:r>
      <w:r w:rsidR="003B1008">
        <w:t>as wards of the state.</w:t>
      </w:r>
    </w:p>
    <w:p w14:paraId="36A224E9" w14:textId="77777777" w:rsidR="00402FB1" w:rsidRPr="00402FB1" w:rsidRDefault="00402FB1" w:rsidP="00C4709E">
      <w:pPr>
        <w:ind w:left="0"/>
        <w:contextualSpacing/>
        <w:jc w:val="both"/>
      </w:pPr>
    </w:p>
    <w:p w14:paraId="32D6946B" w14:textId="6A971587" w:rsidR="00402FB1" w:rsidRPr="00402FB1" w:rsidRDefault="79BE2F83" w:rsidP="00C4709E">
      <w:pPr>
        <w:ind w:left="0"/>
        <w:contextualSpacing/>
        <w:jc w:val="both"/>
      </w:pPr>
      <w:r>
        <w:t xml:space="preserve">With the creation of Canada in 1867, the administration and responsibility for </w:t>
      </w:r>
      <w:r w:rsidR="21A6CC8C">
        <w:t xml:space="preserve">Indigenous </w:t>
      </w:r>
      <w:r w:rsidR="41E4573F">
        <w:t xml:space="preserve">Peoples </w:t>
      </w:r>
      <w:r>
        <w:t>fell to the Canadian government under the British North America Act. The majority of legislation and policy would si</w:t>
      </w:r>
      <w:r w:rsidR="606B3154">
        <w:t>mply be carried on by the newly-</w:t>
      </w:r>
      <w:r>
        <w:t xml:space="preserve">formed Canadian government, with added portions of legislation where necessary. An example of this was the 1869 </w:t>
      </w:r>
      <w:r w:rsidRPr="00606640">
        <w:rPr>
          <w:i/>
          <w:iCs/>
        </w:rPr>
        <w:t>Act for the Gradual Enfranchisement of Indians</w:t>
      </w:r>
      <w:r w:rsidR="6CCA2BF0" w:rsidRPr="00606640">
        <w:rPr>
          <w:i/>
          <w:iCs/>
        </w:rPr>
        <w:t xml:space="preserve"> and the Better Management of Indian Affairs</w:t>
      </w:r>
      <w:r>
        <w:t>, which affected the Indian status of Indian women depending on who they married. Beginning in 1869, if an Indian woman married a non-Indian man, she ceased to be a status Indian.</w:t>
      </w:r>
    </w:p>
    <w:p w14:paraId="1CFEA15D" w14:textId="77777777" w:rsidR="00402FB1" w:rsidRPr="00402FB1" w:rsidRDefault="00402FB1" w:rsidP="00C4709E">
      <w:pPr>
        <w:ind w:left="0"/>
        <w:contextualSpacing/>
        <w:jc w:val="both"/>
      </w:pPr>
    </w:p>
    <w:p w14:paraId="0308B60D" w14:textId="77777777" w:rsidR="00402FB1" w:rsidRPr="00402FB1" w:rsidRDefault="009F19CC" w:rsidP="00C4709E">
      <w:pPr>
        <w:ind w:left="0"/>
        <w:contextualSpacing/>
        <w:jc w:val="both"/>
      </w:pPr>
      <w:r w:rsidRPr="00921045">
        <w:t xml:space="preserve">On the west coast, the gold rushes of the late 1850s and early 1860s overwhelmed Governor Douglas’s ability to try to assert British authority, even by force. As mining activities led to encroachment and damage on Indigenous lands, the local First Nations began to send out war parties to attack road gangs. </w:t>
      </w:r>
      <w:r w:rsidR="0093243D" w:rsidRPr="00921045">
        <w:t>Indigenous insurgents received death sentences and jail time, and no Indigenous war developed in spite of such fears. However, the land policies of Joseph Trutch meant the reduction of reserve sizes</w:t>
      </w:r>
      <w:r w:rsidR="00D55A1C" w:rsidRPr="00921045">
        <w:t>,</w:t>
      </w:r>
      <w:r w:rsidR="0093243D" w:rsidRPr="00921045">
        <w:t xml:space="preserve"> and ultimately, First Nations were left in a position of having to purchase land from non-Indigenous people. After Confederation, British Columbia retained control of Crown lands and refrained from signing any post-Confederation treaties in the province.</w:t>
      </w:r>
    </w:p>
    <w:p w14:paraId="378B8A1B" w14:textId="77777777" w:rsidR="00402FB1" w:rsidRPr="00402FB1" w:rsidRDefault="00402FB1" w:rsidP="00C4709E">
      <w:pPr>
        <w:ind w:left="0"/>
        <w:contextualSpacing/>
        <w:jc w:val="both"/>
      </w:pPr>
    </w:p>
    <w:p w14:paraId="59D06A5B" w14:textId="4121D7AD" w:rsidR="00402FB1" w:rsidRPr="00402FB1" w:rsidRDefault="00FC02A4" w:rsidP="00C4709E">
      <w:pPr>
        <w:ind w:left="0"/>
        <w:contextualSpacing/>
        <w:jc w:val="both"/>
      </w:pPr>
      <w:r>
        <w:t xml:space="preserve">After only a short period of development, Canada was faced with its first challenge, namely, Métis recognition. The attempts at this recognition resulted in Louis Riel rising to prominence, as well as the Red River Resistance, as it was labelled by some. In addition, settlers as well as </w:t>
      </w:r>
      <w:r w:rsidR="006909CF">
        <w:t xml:space="preserve">Indigenous Peoples </w:t>
      </w:r>
      <w:r>
        <w:t>were making it known that they felt they were being ignored by the Canadian government. The end result of the events of 1869 was the creation of Manitoba, with the passing of the Manitoba Act in 1870</w:t>
      </w:r>
      <w:r w:rsidR="00544387">
        <w:t>; however, i</w:t>
      </w:r>
      <w:r>
        <w:t>t</w:t>
      </w:r>
      <w:r w:rsidR="00544387">
        <w:t xml:space="preserve"> </w:t>
      </w:r>
      <w:r>
        <w:t>was not the end of discontent in the West</w:t>
      </w:r>
      <w:r w:rsidR="00544387">
        <w:t>,</w:t>
      </w:r>
      <w:r>
        <w:t xml:space="preserve"> as </w:t>
      </w:r>
      <w:r w:rsidR="0093243D">
        <w:t>waves of settlers continued to flood the North</w:t>
      </w:r>
      <w:r w:rsidR="39B44A80">
        <w:t>-</w:t>
      </w:r>
      <w:r w:rsidR="0093243D">
        <w:t xml:space="preserve">West and the </w:t>
      </w:r>
      <w:r w:rsidR="00912EB8">
        <w:t xml:space="preserve">issue of land disputes remained unresolved. </w:t>
      </w:r>
    </w:p>
    <w:p w14:paraId="05D694AA" w14:textId="77777777" w:rsidR="00402FB1" w:rsidRPr="00402FB1" w:rsidRDefault="00402FB1" w:rsidP="00C4709E">
      <w:pPr>
        <w:ind w:left="0"/>
        <w:contextualSpacing/>
        <w:jc w:val="both"/>
      </w:pPr>
    </w:p>
    <w:p w14:paraId="7583EB45" w14:textId="033AEC4F" w:rsidR="520D26D4" w:rsidRPr="00921045" w:rsidRDefault="520D26D4" w:rsidP="00C9495D">
      <w:pPr>
        <w:spacing w:after="240"/>
        <w:ind w:left="216" w:hanging="216"/>
        <w:jc w:val="both"/>
      </w:pPr>
    </w:p>
    <w:sectPr w:rsidR="520D26D4" w:rsidRPr="00921045" w:rsidSect="001221A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4F89A" w14:textId="77777777" w:rsidR="002C5936" w:rsidRDefault="002C5936">
      <w:r>
        <w:separator/>
      </w:r>
    </w:p>
  </w:endnote>
  <w:endnote w:type="continuationSeparator" w:id="0">
    <w:p w14:paraId="7745A5A4" w14:textId="77777777" w:rsidR="002C5936" w:rsidRDefault="002C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6237" w14:textId="6374D40F" w:rsidR="00805927" w:rsidRPr="00011735" w:rsidRDefault="009E7679" w:rsidP="00805927">
    <w:pPr>
      <w:pStyle w:val="Footer"/>
      <w:jc w:val="center"/>
      <w:rPr>
        <w:sz w:val="22"/>
        <w:szCs w:val="22"/>
      </w:rPr>
    </w:pPr>
    <w:r w:rsidRPr="00011735">
      <w:rPr>
        <w:i/>
        <w:iCs/>
        <w:sz w:val="22"/>
        <w:szCs w:val="22"/>
      </w:rPr>
      <w:t xml:space="preserve">Indigenous Peoples </w:t>
    </w:r>
    <w:r w:rsidR="000617B5" w:rsidRPr="00011735">
      <w:rPr>
        <w:i/>
        <w:iCs/>
        <w:sz w:val="22"/>
        <w:szCs w:val="22"/>
      </w:rPr>
      <w:t>w</w:t>
    </w:r>
    <w:r w:rsidRPr="00011735">
      <w:rPr>
        <w:i/>
        <w:iCs/>
        <w:sz w:val="22"/>
        <w:szCs w:val="22"/>
      </w:rPr>
      <w:t xml:space="preserve">ithin Canada: </w:t>
    </w:r>
    <w:r w:rsidR="00805927" w:rsidRPr="00011735">
      <w:rPr>
        <w:i/>
        <w:iCs/>
        <w:sz w:val="22"/>
        <w:szCs w:val="22"/>
      </w:rPr>
      <w:t>A Concise History</w:t>
    </w:r>
    <w:r w:rsidR="00805927" w:rsidRPr="00011735">
      <w:rPr>
        <w:sz w:val="22"/>
        <w:szCs w:val="22"/>
      </w:rPr>
      <w:t xml:space="preserve">, </w:t>
    </w:r>
    <w:r w:rsidRPr="00011735">
      <w:rPr>
        <w:i/>
        <w:iCs/>
        <w:sz w:val="22"/>
        <w:szCs w:val="22"/>
      </w:rPr>
      <w:t>F</w:t>
    </w:r>
    <w:r w:rsidR="00E8006B" w:rsidRPr="00011735">
      <w:rPr>
        <w:i/>
        <w:iCs/>
        <w:sz w:val="22"/>
        <w:szCs w:val="22"/>
      </w:rPr>
      <w:t>ifth</w:t>
    </w:r>
    <w:r w:rsidR="00E8006B" w:rsidRPr="00011735">
      <w:rPr>
        <w:sz w:val="22"/>
        <w:szCs w:val="22"/>
      </w:rPr>
      <w:t xml:space="preserve"> </w:t>
    </w:r>
    <w:r w:rsidR="00805927" w:rsidRPr="00011735">
      <w:rPr>
        <w:sz w:val="22"/>
        <w:szCs w:val="22"/>
      </w:rPr>
      <w:t>Edition</w:t>
    </w:r>
  </w:p>
  <w:p w14:paraId="3D77C753" w14:textId="6FC24D73" w:rsidR="00805927" w:rsidRPr="00011735" w:rsidRDefault="00805927" w:rsidP="00805927">
    <w:pPr>
      <w:pStyle w:val="Footer"/>
      <w:jc w:val="center"/>
      <w:rPr>
        <w:sz w:val="22"/>
        <w:szCs w:val="22"/>
      </w:rPr>
    </w:pPr>
    <w:r w:rsidRPr="00011735">
      <w:rPr>
        <w:sz w:val="22"/>
        <w:szCs w:val="22"/>
      </w:rPr>
      <w:t>© Oxford University Press Canada, 20</w:t>
    </w:r>
    <w:r w:rsidR="00E2381D" w:rsidRPr="00011735">
      <w:rPr>
        <w:sz w:val="22"/>
        <w:szCs w:val="22"/>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881F7" w14:textId="77777777" w:rsidR="002C5936" w:rsidRDefault="002C5936">
      <w:r>
        <w:separator/>
      </w:r>
    </w:p>
  </w:footnote>
  <w:footnote w:type="continuationSeparator" w:id="0">
    <w:p w14:paraId="2A416B1B" w14:textId="77777777" w:rsidR="002C5936" w:rsidRDefault="002C5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7B040BF" w14:paraId="387266B9" w14:textId="77777777" w:rsidTr="00606640">
      <w:trPr>
        <w:trHeight w:val="300"/>
      </w:trPr>
      <w:tc>
        <w:tcPr>
          <w:tcW w:w="3120" w:type="dxa"/>
        </w:tcPr>
        <w:p w14:paraId="30E9492A" w14:textId="34C95C79" w:rsidR="77B040BF" w:rsidRDefault="77B040BF" w:rsidP="00606640">
          <w:pPr>
            <w:pStyle w:val="Header"/>
            <w:ind w:left="-115"/>
          </w:pPr>
        </w:p>
      </w:tc>
      <w:tc>
        <w:tcPr>
          <w:tcW w:w="3120" w:type="dxa"/>
        </w:tcPr>
        <w:p w14:paraId="555AD79D" w14:textId="24F3CFBD" w:rsidR="77B040BF" w:rsidRDefault="77B040BF" w:rsidP="00606640">
          <w:pPr>
            <w:pStyle w:val="Header"/>
            <w:jc w:val="center"/>
          </w:pPr>
        </w:p>
      </w:tc>
      <w:tc>
        <w:tcPr>
          <w:tcW w:w="3120" w:type="dxa"/>
        </w:tcPr>
        <w:p w14:paraId="28B37995" w14:textId="165C48F2" w:rsidR="77B040BF" w:rsidRDefault="77B040BF" w:rsidP="00606640">
          <w:pPr>
            <w:pStyle w:val="Header"/>
            <w:ind w:right="-115"/>
            <w:jc w:val="right"/>
          </w:pPr>
        </w:p>
      </w:tc>
    </w:tr>
  </w:tbl>
  <w:p w14:paraId="41189A7B" w14:textId="47BBD0D9" w:rsidR="77B040BF" w:rsidRDefault="77B040BF" w:rsidP="00606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4C6"/>
    <w:multiLevelType w:val="hybridMultilevel"/>
    <w:tmpl w:val="54E06740"/>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F600DF"/>
    <w:multiLevelType w:val="hybridMultilevel"/>
    <w:tmpl w:val="27CC00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E613933"/>
    <w:multiLevelType w:val="hybridMultilevel"/>
    <w:tmpl w:val="18CE14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6CE63E5"/>
    <w:multiLevelType w:val="hybridMultilevel"/>
    <w:tmpl w:val="5F7EBF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F8F246F"/>
    <w:multiLevelType w:val="hybridMultilevel"/>
    <w:tmpl w:val="0E8C7E42"/>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4995158"/>
    <w:multiLevelType w:val="hybridMultilevel"/>
    <w:tmpl w:val="EA22DF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5383045"/>
    <w:multiLevelType w:val="hybridMultilevel"/>
    <w:tmpl w:val="921CAD0A"/>
    <w:lvl w:ilvl="0" w:tplc="DF183ACA">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48FD5156"/>
    <w:multiLevelType w:val="hybridMultilevel"/>
    <w:tmpl w:val="127A225E"/>
    <w:lvl w:ilvl="0" w:tplc="C71E4A42">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4F331623"/>
    <w:multiLevelType w:val="hybridMultilevel"/>
    <w:tmpl w:val="F6944D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78D0187"/>
    <w:multiLevelType w:val="hybridMultilevel"/>
    <w:tmpl w:val="9190AADE"/>
    <w:lvl w:ilvl="0" w:tplc="C71E4A42">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21870A2"/>
    <w:multiLevelType w:val="hybridMultilevel"/>
    <w:tmpl w:val="651433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B64296B"/>
    <w:multiLevelType w:val="hybridMultilevel"/>
    <w:tmpl w:val="6694BCDA"/>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095544B"/>
    <w:multiLevelType w:val="hybridMultilevel"/>
    <w:tmpl w:val="F42E18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73F40DA8"/>
    <w:multiLevelType w:val="hybridMultilevel"/>
    <w:tmpl w:val="E4985042"/>
    <w:lvl w:ilvl="0" w:tplc="4984CAB4">
      <w:start w:val="1"/>
      <w:numFmt w:val="decimal"/>
      <w:lvlText w:val="%1."/>
      <w:lvlJc w:val="left"/>
      <w:pPr>
        <w:ind w:left="720" w:hanging="360"/>
      </w:pPr>
    </w:lvl>
    <w:lvl w:ilvl="1" w:tplc="E58E3474">
      <w:start w:val="1"/>
      <w:numFmt w:val="lowerLetter"/>
      <w:lvlText w:val="%2."/>
      <w:lvlJc w:val="left"/>
      <w:pPr>
        <w:ind w:left="1440" w:hanging="360"/>
      </w:pPr>
    </w:lvl>
    <w:lvl w:ilvl="2" w:tplc="D402D534">
      <w:start w:val="1"/>
      <w:numFmt w:val="lowerRoman"/>
      <w:lvlText w:val="%3."/>
      <w:lvlJc w:val="right"/>
      <w:pPr>
        <w:ind w:left="2160" w:hanging="180"/>
      </w:pPr>
    </w:lvl>
    <w:lvl w:ilvl="3" w:tplc="B01CBBA8">
      <w:start w:val="1"/>
      <w:numFmt w:val="decimal"/>
      <w:lvlText w:val="%4."/>
      <w:lvlJc w:val="left"/>
      <w:pPr>
        <w:ind w:left="2880" w:hanging="360"/>
      </w:pPr>
    </w:lvl>
    <w:lvl w:ilvl="4" w:tplc="972CF980">
      <w:start w:val="1"/>
      <w:numFmt w:val="lowerLetter"/>
      <w:lvlText w:val="%5."/>
      <w:lvlJc w:val="left"/>
      <w:pPr>
        <w:ind w:left="3600" w:hanging="360"/>
      </w:pPr>
    </w:lvl>
    <w:lvl w:ilvl="5" w:tplc="5ABA20EA">
      <w:start w:val="1"/>
      <w:numFmt w:val="lowerRoman"/>
      <w:lvlText w:val="%6."/>
      <w:lvlJc w:val="right"/>
      <w:pPr>
        <w:ind w:left="4320" w:hanging="180"/>
      </w:pPr>
    </w:lvl>
    <w:lvl w:ilvl="6" w:tplc="158600D2">
      <w:start w:val="1"/>
      <w:numFmt w:val="decimal"/>
      <w:lvlText w:val="%7."/>
      <w:lvlJc w:val="left"/>
      <w:pPr>
        <w:ind w:left="5040" w:hanging="360"/>
      </w:pPr>
    </w:lvl>
    <w:lvl w:ilvl="7" w:tplc="CB424142">
      <w:start w:val="1"/>
      <w:numFmt w:val="lowerLetter"/>
      <w:lvlText w:val="%8."/>
      <w:lvlJc w:val="left"/>
      <w:pPr>
        <w:ind w:left="5760" w:hanging="360"/>
      </w:pPr>
    </w:lvl>
    <w:lvl w:ilvl="8" w:tplc="F7A29D28">
      <w:start w:val="1"/>
      <w:numFmt w:val="lowerRoman"/>
      <w:lvlText w:val="%9."/>
      <w:lvlJc w:val="right"/>
      <w:pPr>
        <w:ind w:left="6480" w:hanging="180"/>
      </w:pPr>
    </w:lvl>
  </w:abstractNum>
  <w:abstractNum w:abstractNumId="14" w15:restartNumberingAfterBreak="0">
    <w:nsid w:val="75E81DEE"/>
    <w:multiLevelType w:val="hybridMultilevel"/>
    <w:tmpl w:val="D07A93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DBA18E4"/>
    <w:multiLevelType w:val="hybridMultilevel"/>
    <w:tmpl w:val="A89CED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4"/>
  </w:num>
  <w:num w:numId="3">
    <w:abstractNumId w:val="11"/>
  </w:num>
  <w:num w:numId="4">
    <w:abstractNumId w:val="1"/>
  </w:num>
  <w:num w:numId="5">
    <w:abstractNumId w:val="3"/>
  </w:num>
  <w:num w:numId="6">
    <w:abstractNumId w:val="8"/>
  </w:num>
  <w:num w:numId="7">
    <w:abstractNumId w:val="0"/>
  </w:num>
  <w:num w:numId="8">
    <w:abstractNumId w:val="5"/>
  </w:num>
  <w:num w:numId="9">
    <w:abstractNumId w:val="14"/>
  </w:num>
  <w:num w:numId="10">
    <w:abstractNumId w:val="10"/>
  </w:num>
  <w:num w:numId="11">
    <w:abstractNumId w:val="15"/>
  </w:num>
  <w:num w:numId="12">
    <w:abstractNumId w:val="7"/>
  </w:num>
  <w:num w:numId="13">
    <w:abstractNumId w:val="2"/>
  </w:num>
  <w:num w:numId="14">
    <w:abstractNumId w:val="6"/>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F9"/>
    <w:rsid w:val="00005B6B"/>
    <w:rsid w:val="00011735"/>
    <w:rsid w:val="000120BF"/>
    <w:rsid w:val="00021C32"/>
    <w:rsid w:val="000306F8"/>
    <w:rsid w:val="00032EB0"/>
    <w:rsid w:val="00046887"/>
    <w:rsid w:val="000617B5"/>
    <w:rsid w:val="00070D89"/>
    <w:rsid w:val="00084B44"/>
    <w:rsid w:val="0009278D"/>
    <w:rsid w:val="000F2288"/>
    <w:rsid w:val="001005FF"/>
    <w:rsid w:val="001035E0"/>
    <w:rsid w:val="00117105"/>
    <w:rsid w:val="00121DFC"/>
    <w:rsid w:val="001221A9"/>
    <w:rsid w:val="001274CD"/>
    <w:rsid w:val="00135D28"/>
    <w:rsid w:val="00141984"/>
    <w:rsid w:val="001629F8"/>
    <w:rsid w:val="001B3D97"/>
    <w:rsid w:val="001B41B2"/>
    <w:rsid w:val="001D7212"/>
    <w:rsid w:val="001F61DD"/>
    <w:rsid w:val="002025AD"/>
    <w:rsid w:val="002179E0"/>
    <w:rsid w:val="002256F6"/>
    <w:rsid w:val="00287350"/>
    <w:rsid w:val="00290DF6"/>
    <w:rsid w:val="002A2BD6"/>
    <w:rsid w:val="002A5472"/>
    <w:rsid w:val="002A7518"/>
    <w:rsid w:val="002B0730"/>
    <w:rsid w:val="002C5936"/>
    <w:rsid w:val="002C5A01"/>
    <w:rsid w:val="002E2A89"/>
    <w:rsid w:val="002E423A"/>
    <w:rsid w:val="003036DC"/>
    <w:rsid w:val="00303DE0"/>
    <w:rsid w:val="00335DC8"/>
    <w:rsid w:val="003418F3"/>
    <w:rsid w:val="003901F6"/>
    <w:rsid w:val="003A65FD"/>
    <w:rsid w:val="003B1008"/>
    <w:rsid w:val="003C2F6D"/>
    <w:rsid w:val="003C424B"/>
    <w:rsid w:val="003E0B04"/>
    <w:rsid w:val="003E5921"/>
    <w:rsid w:val="003E6E45"/>
    <w:rsid w:val="003F5BE5"/>
    <w:rsid w:val="00402FB1"/>
    <w:rsid w:val="0042791F"/>
    <w:rsid w:val="00430A4A"/>
    <w:rsid w:val="00474D30"/>
    <w:rsid w:val="00475D13"/>
    <w:rsid w:val="00490CFF"/>
    <w:rsid w:val="004A66D0"/>
    <w:rsid w:val="004A6BCE"/>
    <w:rsid w:val="004A746A"/>
    <w:rsid w:val="004B4770"/>
    <w:rsid w:val="004D4B55"/>
    <w:rsid w:val="00507F8B"/>
    <w:rsid w:val="00531236"/>
    <w:rsid w:val="00544387"/>
    <w:rsid w:val="00544A41"/>
    <w:rsid w:val="00560B4A"/>
    <w:rsid w:val="00563B37"/>
    <w:rsid w:val="00564968"/>
    <w:rsid w:val="0057305B"/>
    <w:rsid w:val="00573228"/>
    <w:rsid w:val="00573E47"/>
    <w:rsid w:val="0058161B"/>
    <w:rsid w:val="00586094"/>
    <w:rsid w:val="00595CE6"/>
    <w:rsid w:val="005B114D"/>
    <w:rsid w:val="005B2F66"/>
    <w:rsid w:val="005C5E9F"/>
    <w:rsid w:val="005C6310"/>
    <w:rsid w:val="005D5308"/>
    <w:rsid w:val="005E1007"/>
    <w:rsid w:val="005E7AB3"/>
    <w:rsid w:val="005F654E"/>
    <w:rsid w:val="00603083"/>
    <w:rsid w:val="00606640"/>
    <w:rsid w:val="00617CF7"/>
    <w:rsid w:val="00635BAA"/>
    <w:rsid w:val="00642A96"/>
    <w:rsid w:val="00644BAC"/>
    <w:rsid w:val="00680A83"/>
    <w:rsid w:val="00682C7B"/>
    <w:rsid w:val="006909CF"/>
    <w:rsid w:val="006A022F"/>
    <w:rsid w:val="006A2FC1"/>
    <w:rsid w:val="006B00E7"/>
    <w:rsid w:val="006D5CCF"/>
    <w:rsid w:val="006F1E5F"/>
    <w:rsid w:val="006F213C"/>
    <w:rsid w:val="006F71FA"/>
    <w:rsid w:val="00713AEA"/>
    <w:rsid w:val="007403F4"/>
    <w:rsid w:val="007B318C"/>
    <w:rsid w:val="007B4BED"/>
    <w:rsid w:val="007C5D40"/>
    <w:rsid w:val="007D7C62"/>
    <w:rsid w:val="007E116A"/>
    <w:rsid w:val="007E6E17"/>
    <w:rsid w:val="00805927"/>
    <w:rsid w:val="00811450"/>
    <w:rsid w:val="00820FD6"/>
    <w:rsid w:val="00877F64"/>
    <w:rsid w:val="00887C2C"/>
    <w:rsid w:val="0089019A"/>
    <w:rsid w:val="008B2826"/>
    <w:rsid w:val="008F7F22"/>
    <w:rsid w:val="009064FD"/>
    <w:rsid w:val="009120A1"/>
    <w:rsid w:val="00912EB8"/>
    <w:rsid w:val="0091544C"/>
    <w:rsid w:val="009155BC"/>
    <w:rsid w:val="00917E4D"/>
    <w:rsid w:val="00921045"/>
    <w:rsid w:val="0093243D"/>
    <w:rsid w:val="00933A51"/>
    <w:rsid w:val="00943B86"/>
    <w:rsid w:val="00952621"/>
    <w:rsid w:val="00953875"/>
    <w:rsid w:val="00995ED6"/>
    <w:rsid w:val="009D2DB6"/>
    <w:rsid w:val="009E7679"/>
    <w:rsid w:val="009F19CC"/>
    <w:rsid w:val="009F1EC7"/>
    <w:rsid w:val="00A14FDB"/>
    <w:rsid w:val="00A173A6"/>
    <w:rsid w:val="00A31CF4"/>
    <w:rsid w:val="00A46DBF"/>
    <w:rsid w:val="00A70ECF"/>
    <w:rsid w:val="00A713F5"/>
    <w:rsid w:val="00AC0D6F"/>
    <w:rsid w:val="00AD1C3F"/>
    <w:rsid w:val="00AF426C"/>
    <w:rsid w:val="00AF6D1C"/>
    <w:rsid w:val="00B222AA"/>
    <w:rsid w:val="00B229AD"/>
    <w:rsid w:val="00B3781B"/>
    <w:rsid w:val="00B42AC0"/>
    <w:rsid w:val="00B504DB"/>
    <w:rsid w:val="00B7270E"/>
    <w:rsid w:val="00B84453"/>
    <w:rsid w:val="00B9680E"/>
    <w:rsid w:val="00BA48B6"/>
    <w:rsid w:val="00BB748B"/>
    <w:rsid w:val="00BC48F1"/>
    <w:rsid w:val="00BE099B"/>
    <w:rsid w:val="00BE53B2"/>
    <w:rsid w:val="00BF189D"/>
    <w:rsid w:val="00C35A1C"/>
    <w:rsid w:val="00C44684"/>
    <w:rsid w:val="00C4709E"/>
    <w:rsid w:val="00C5058C"/>
    <w:rsid w:val="00C53201"/>
    <w:rsid w:val="00C62281"/>
    <w:rsid w:val="00C66E77"/>
    <w:rsid w:val="00C74523"/>
    <w:rsid w:val="00C94162"/>
    <w:rsid w:val="00C9495D"/>
    <w:rsid w:val="00CA1AF9"/>
    <w:rsid w:val="00CE0722"/>
    <w:rsid w:val="00CF039F"/>
    <w:rsid w:val="00D047AB"/>
    <w:rsid w:val="00D5131E"/>
    <w:rsid w:val="00D55A1C"/>
    <w:rsid w:val="00D67C0A"/>
    <w:rsid w:val="00D70AEF"/>
    <w:rsid w:val="00D742EE"/>
    <w:rsid w:val="00D77B33"/>
    <w:rsid w:val="00D84477"/>
    <w:rsid w:val="00DA0952"/>
    <w:rsid w:val="00DA6A0C"/>
    <w:rsid w:val="00DA7495"/>
    <w:rsid w:val="00DB0B30"/>
    <w:rsid w:val="00DC0FFA"/>
    <w:rsid w:val="00DC6C26"/>
    <w:rsid w:val="00DE2B18"/>
    <w:rsid w:val="00E07244"/>
    <w:rsid w:val="00E2381D"/>
    <w:rsid w:val="00E41FA5"/>
    <w:rsid w:val="00E47313"/>
    <w:rsid w:val="00E515AE"/>
    <w:rsid w:val="00E550C5"/>
    <w:rsid w:val="00E70607"/>
    <w:rsid w:val="00E74341"/>
    <w:rsid w:val="00E8006B"/>
    <w:rsid w:val="00E903EC"/>
    <w:rsid w:val="00EA158F"/>
    <w:rsid w:val="00EA7B63"/>
    <w:rsid w:val="00EB3749"/>
    <w:rsid w:val="00EC577B"/>
    <w:rsid w:val="00ED4A1A"/>
    <w:rsid w:val="00EF695D"/>
    <w:rsid w:val="00F03552"/>
    <w:rsid w:val="00F13965"/>
    <w:rsid w:val="00F178E8"/>
    <w:rsid w:val="00F2668B"/>
    <w:rsid w:val="00F42E6B"/>
    <w:rsid w:val="00F51609"/>
    <w:rsid w:val="00F55806"/>
    <w:rsid w:val="00F67D21"/>
    <w:rsid w:val="00F70A9F"/>
    <w:rsid w:val="00F906B7"/>
    <w:rsid w:val="00F91252"/>
    <w:rsid w:val="00F92CE8"/>
    <w:rsid w:val="00F96AA9"/>
    <w:rsid w:val="00FA0583"/>
    <w:rsid w:val="00FA62C2"/>
    <w:rsid w:val="00FB62BA"/>
    <w:rsid w:val="00FC02A4"/>
    <w:rsid w:val="00FD0F10"/>
    <w:rsid w:val="00FD5D45"/>
    <w:rsid w:val="00FF5649"/>
    <w:rsid w:val="0144597B"/>
    <w:rsid w:val="01598A01"/>
    <w:rsid w:val="031134B5"/>
    <w:rsid w:val="052B81CD"/>
    <w:rsid w:val="055F4BA7"/>
    <w:rsid w:val="05C1B5B9"/>
    <w:rsid w:val="06438B5A"/>
    <w:rsid w:val="0648D577"/>
    <w:rsid w:val="08C5D562"/>
    <w:rsid w:val="091A7391"/>
    <w:rsid w:val="0CAA21BE"/>
    <w:rsid w:val="0CF8471E"/>
    <w:rsid w:val="0D3F67CB"/>
    <w:rsid w:val="0DEDE4B4"/>
    <w:rsid w:val="0E8DDB65"/>
    <w:rsid w:val="0E9AAD73"/>
    <w:rsid w:val="0EC091C4"/>
    <w:rsid w:val="0F560395"/>
    <w:rsid w:val="0FF234F2"/>
    <w:rsid w:val="10292B2F"/>
    <w:rsid w:val="105C7654"/>
    <w:rsid w:val="108E3F65"/>
    <w:rsid w:val="11B57239"/>
    <w:rsid w:val="11C05585"/>
    <w:rsid w:val="1211F25B"/>
    <w:rsid w:val="123311DB"/>
    <w:rsid w:val="12538F4B"/>
    <w:rsid w:val="129DBC76"/>
    <w:rsid w:val="12DFA888"/>
    <w:rsid w:val="1310B822"/>
    <w:rsid w:val="13CEE23C"/>
    <w:rsid w:val="1565EC98"/>
    <w:rsid w:val="158B300D"/>
    <w:rsid w:val="162815FB"/>
    <w:rsid w:val="166E9BD8"/>
    <w:rsid w:val="1685E518"/>
    <w:rsid w:val="1834322B"/>
    <w:rsid w:val="183A4B3A"/>
    <w:rsid w:val="188133DF"/>
    <w:rsid w:val="18ACDB33"/>
    <w:rsid w:val="1989F998"/>
    <w:rsid w:val="19B70958"/>
    <w:rsid w:val="19E15D17"/>
    <w:rsid w:val="1A5030C4"/>
    <w:rsid w:val="1B4DDB34"/>
    <w:rsid w:val="1C138D76"/>
    <w:rsid w:val="1D47B71A"/>
    <w:rsid w:val="1D64F3F2"/>
    <w:rsid w:val="1DE1799B"/>
    <w:rsid w:val="1EE3877B"/>
    <w:rsid w:val="1F2FC7BD"/>
    <w:rsid w:val="1F8A2A37"/>
    <w:rsid w:val="1FC70E3E"/>
    <w:rsid w:val="217DC54A"/>
    <w:rsid w:val="21A6CC8C"/>
    <w:rsid w:val="22E43928"/>
    <w:rsid w:val="23956F69"/>
    <w:rsid w:val="2427F350"/>
    <w:rsid w:val="243C3C5A"/>
    <w:rsid w:val="25ECA61E"/>
    <w:rsid w:val="25EEA681"/>
    <w:rsid w:val="26A7C110"/>
    <w:rsid w:val="26C012A1"/>
    <w:rsid w:val="2788767F"/>
    <w:rsid w:val="29419602"/>
    <w:rsid w:val="296E9AA4"/>
    <w:rsid w:val="29B38F2F"/>
    <w:rsid w:val="2D2D60F2"/>
    <w:rsid w:val="2F702705"/>
    <w:rsid w:val="2F84B3A1"/>
    <w:rsid w:val="309C55E7"/>
    <w:rsid w:val="31311F2D"/>
    <w:rsid w:val="31B63772"/>
    <w:rsid w:val="32382648"/>
    <w:rsid w:val="3398FBA9"/>
    <w:rsid w:val="3455925A"/>
    <w:rsid w:val="34EDD834"/>
    <w:rsid w:val="35460E2D"/>
    <w:rsid w:val="37263745"/>
    <w:rsid w:val="37664D07"/>
    <w:rsid w:val="38516BC5"/>
    <w:rsid w:val="39A00EF1"/>
    <w:rsid w:val="39B44A80"/>
    <w:rsid w:val="39DAC720"/>
    <w:rsid w:val="3AD5A63E"/>
    <w:rsid w:val="3AF142E3"/>
    <w:rsid w:val="3B5B695B"/>
    <w:rsid w:val="3B61C2FB"/>
    <w:rsid w:val="3BDA7044"/>
    <w:rsid w:val="3C1469AC"/>
    <w:rsid w:val="3CA929B7"/>
    <w:rsid w:val="3D5C74CE"/>
    <w:rsid w:val="3DC63DB4"/>
    <w:rsid w:val="3E0AE50C"/>
    <w:rsid w:val="3EC2D0E1"/>
    <w:rsid w:val="3FCED8B8"/>
    <w:rsid w:val="4058A957"/>
    <w:rsid w:val="40AE70DD"/>
    <w:rsid w:val="40D1F223"/>
    <w:rsid w:val="40F93708"/>
    <w:rsid w:val="414B28DB"/>
    <w:rsid w:val="416BE47D"/>
    <w:rsid w:val="41E4573F"/>
    <w:rsid w:val="423A32C6"/>
    <w:rsid w:val="432278D6"/>
    <w:rsid w:val="44385FAE"/>
    <w:rsid w:val="44B08702"/>
    <w:rsid w:val="44F3D5B6"/>
    <w:rsid w:val="44F98476"/>
    <w:rsid w:val="45145326"/>
    <w:rsid w:val="45880512"/>
    <w:rsid w:val="46A1B31B"/>
    <w:rsid w:val="46E4B385"/>
    <w:rsid w:val="48271DA6"/>
    <w:rsid w:val="48893ABA"/>
    <w:rsid w:val="4A3AA6A8"/>
    <w:rsid w:val="4AA6C315"/>
    <w:rsid w:val="4BA48159"/>
    <w:rsid w:val="4EA0E083"/>
    <w:rsid w:val="4FAF2493"/>
    <w:rsid w:val="50205558"/>
    <w:rsid w:val="50729603"/>
    <w:rsid w:val="50E0B7AB"/>
    <w:rsid w:val="51BC25B9"/>
    <w:rsid w:val="520D26D4"/>
    <w:rsid w:val="54E5E0CD"/>
    <w:rsid w:val="54EFA5FB"/>
    <w:rsid w:val="556FA97C"/>
    <w:rsid w:val="58C86F3B"/>
    <w:rsid w:val="59AE0F41"/>
    <w:rsid w:val="5B5994A4"/>
    <w:rsid w:val="5B985F92"/>
    <w:rsid w:val="5DB628EE"/>
    <w:rsid w:val="5E819F6E"/>
    <w:rsid w:val="5F8D7C5C"/>
    <w:rsid w:val="5F988DE1"/>
    <w:rsid w:val="5F9E20B6"/>
    <w:rsid w:val="606B3154"/>
    <w:rsid w:val="619C625C"/>
    <w:rsid w:val="61C14961"/>
    <w:rsid w:val="6288CF41"/>
    <w:rsid w:val="633832BD"/>
    <w:rsid w:val="66D30836"/>
    <w:rsid w:val="66E00F4A"/>
    <w:rsid w:val="677D5FE4"/>
    <w:rsid w:val="68C0506A"/>
    <w:rsid w:val="68FAAC0E"/>
    <w:rsid w:val="698458F0"/>
    <w:rsid w:val="6A68F8C9"/>
    <w:rsid w:val="6AB500A6"/>
    <w:rsid w:val="6C092F5A"/>
    <w:rsid w:val="6C4DFD7E"/>
    <w:rsid w:val="6CCA2BF0"/>
    <w:rsid w:val="6DCB81E8"/>
    <w:rsid w:val="6F675249"/>
    <w:rsid w:val="6FBB82A2"/>
    <w:rsid w:val="700058CE"/>
    <w:rsid w:val="702B028D"/>
    <w:rsid w:val="72132C72"/>
    <w:rsid w:val="725CBB4F"/>
    <w:rsid w:val="72F33572"/>
    <w:rsid w:val="731B78CD"/>
    <w:rsid w:val="73A6A6E3"/>
    <w:rsid w:val="73C58333"/>
    <w:rsid w:val="74619DAA"/>
    <w:rsid w:val="74F1FF95"/>
    <w:rsid w:val="76CA56C0"/>
    <w:rsid w:val="776091DF"/>
    <w:rsid w:val="77857505"/>
    <w:rsid w:val="778F69C2"/>
    <w:rsid w:val="779B7134"/>
    <w:rsid w:val="77B040BF"/>
    <w:rsid w:val="77F603B0"/>
    <w:rsid w:val="799D2AC6"/>
    <w:rsid w:val="79BE2F83"/>
    <w:rsid w:val="7AB1F276"/>
    <w:rsid w:val="7BAC01B6"/>
    <w:rsid w:val="7BE84121"/>
    <w:rsid w:val="7BF72CE8"/>
    <w:rsid w:val="7C1ECB02"/>
    <w:rsid w:val="7C48D1A0"/>
    <w:rsid w:val="7C4DC2D7"/>
    <w:rsid w:val="7C69AE29"/>
    <w:rsid w:val="7C7F3E38"/>
    <w:rsid w:val="7CA7D18F"/>
    <w:rsid w:val="7DA82F66"/>
    <w:rsid w:val="7E5FC026"/>
    <w:rsid w:val="7F15C308"/>
    <w:rsid w:val="7FE6C2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1514A9"/>
  <w15:docId w15:val="{5117BCBD-8BF6-4221-A462-D0E63864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AF9"/>
    <w:pPr>
      <w:ind w:left="72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A1AF9"/>
    <w:pPr>
      <w:tabs>
        <w:tab w:val="center" w:pos="4680"/>
        <w:tab w:val="right" w:pos="9360"/>
      </w:tabs>
    </w:pPr>
  </w:style>
  <w:style w:type="character" w:customStyle="1" w:styleId="FooterChar">
    <w:name w:val="Footer Char"/>
    <w:link w:val="Footer"/>
    <w:locked/>
    <w:rsid w:val="00CA1AF9"/>
    <w:rPr>
      <w:sz w:val="24"/>
      <w:szCs w:val="24"/>
      <w:lang w:val="en-US" w:eastAsia="en-US" w:bidi="ar-SA"/>
    </w:rPr>
  </w:style>
  <w:style w:type="paragraph" w:styleId="ListParagraph">
    <w:name w:val="List Paragraph"/>
    <w:basedOn w:val="Normal"/>
    <w:qFormat/>
    <w:rsid w:val="00CA1AF9"/>
    <w:pPr>
      <w:contextualSpacing/>
    </w:pPr>
  </w:style>
  <w:style w:type="paragraph" w:styleId="Header">
    <w:name w:val="header"/>
    <w:basedOn w:val="Normal"/>
    <w:rsid w:val="00642A96"/>
    <w:pPr>
      <w:tabs>
        <w:tab w:val="center" w:pos="4320"/>
        <w:tab w:val="right" w:pos="8640"/>
      </w:tabs>
    </w:pPr>
  </w:style>
  <w:style w:type="character" w:styleId="Hyperlink">
    <w:name w:val="Hyperlink"/>
    <w:unhideWhenUsed/>
    <w:rsid w:val="00573228"/>
    <w:rPr>
      <w:color w:val="0000FF"/>
      <w:u w:val="single"/>
    </w:rPr>
  </w:style>
  <w:style w:type="character" w:styleId="FollowedHyperlink">
    <w:name w:val="FollowedHyperlink"/>
    <w:rsid w:val="00933A51"/>
    <w:rPr>
      <w:color w:val="800080"/>
      <w:u w:val="single"/>
    </w:rPr>
  </w:style>
  <w:style w:type="paragraph" w:styleId="BalloonText">
    <w:name w:val="Balloon Text"/>
    <w:basedOn w:val="Normal"/>
    <w:link w:val="BalloonTextChar"/>
    <w:rsid w:val="00595CE6"/>
    <w:rPr>
      <w:rFonts w:ascii="Tahoma" w:hAnsi="Tahoma" w:cs="Tahoma"/>
      <w:sz w:val="16"/>
      <w:szCs w:val="16"/>
    </w:rPr>
  </w:style>
  <w:style w:type="character" w:customStyle="1" w:styleId="BalloonTextChar">
    <w:name w:val="Balloon Text Char"/>
    <w:link w:val="BalloonText"/>
    <w:rsid w:val="00595CE6"/>
    <w:rPr>
      <w:rFonts w:ascii="Tahoma" w:hAnsi="Tahoma" w:cs="Tahoma"/>
      <w:sz w:val="16"/>
      <w:szCs w:val="16"/>
      <w:lang w:val="en-US" w:eastAsia="en-US"/>
    </w:rPr>
  </w:style>
  <w:style w:type="character" w:styleId="CommentReference">
    <w:name w:val="annotation reference"/>
    <w:rsid w:val="00121DFC"/>
    <w:rPr>
      <w:sz w:val="16"/>
      <w:szCs w:val="16"/>
    </w:rPr>
  </w:style>
  <w:style w:type="paragraph" w:styleId="CommentText">
    <w:name w:val="annotation text"/>
    <w:basedOn w:val="Normal"/>
    <w:link w:val="CommentTextChar"/>
    <w:rsid w:val="00121DFC"/>
    <w:rPr>
      <w:sz w:val="20"/>
      <w:szCs w:val="20"/>
    </w:rPr>
  </w:style>
  <w:style w:type="character" w:customStyle="1" w:styleId="CommentTextChar">
    <w:name w:val="Comment Text Char"/>
    <w:link w:val="CommentText"/>
    <w:rsid w:val="00121DFC"/>
    <w:rPr>
      <w:lang w:val="en-US" w:eastAsia="en-US"/>
    </w:rPr>
  </w:style>
  <w:style w:type="paragraph" w:styleId="CommentSubject">
    <w:name w:val="annotation subject"/>
    <w:basedOn w:val="CommentText"/>
    <w:next w:val="CommentText"/>
    <w:link w:val="CommentSubjectChar"/>
    <w:rsid w:val="00121DFC"/>
    <w:rPr>
      <w:b/>
      <w:bCs/>
    </w:rPr>
  </w:style>
  <w:style w:type="character" w:customStyle="1" w:styleId="CommentSubjectChar">
    <w:name w:val="Comment Subject Char"/>
    <w:link w:val="CommentSubject"/>
    <w:rsid w:val="00121DFC"/>
    <w:rPr>
      <w:b/>
      <w:bCs/>
      <w:lang w:val="en-US" w:eastAsia="en-US"/>
    </w:rPr>
  </w:style>
  <w:style w:type="character" w:customStyle="1" w:styleId="UnresolvedMention1">
    <w:name w:val="Unresolved Mention1"/>
    <w:basedOn w:val="DefaultParagraphFont"/>
    <w:uiPriority w:val="99"/>
    <w:semiHidden/>
    <w:unhideWhenUsed/>
    <w:rsid w:val="001221A9"/>
    <w:rPr>
      <w:color w:val="605E5C"/>
      <w:shd w:val="clear" w:color="auto" w:fill="E1DFDD"/>
    </w:rPr>
  </w:style>
  <w:style w:type="character" w:customStyle="1" w:styleId="clipboard-msg">
    <w:name w:val="clipboard-msg"/>
    <w:basedOn w:val="DefaultParagraphFont"/>
    <w:rsid w:val="001221A9"/>
  </w:style>
  <w:style w:type="paragraph" w:styleId="NormalWeb">
    <w:name w:val="Normal (Web)"/>
    <w:basedOn w:val="Normal"/>
    <w:uiPriority w:val="99"/>
    <w:unhideWhenUsed/>
    <w:rsid w:val="00A14FDB"/>
    <w:pPr>
      <w:spacing w:before="100" w:beforeAutospacing="1" w:after="100" w:afterAutospacing="1"/>
      <w:ind w:left="0"/>
    </w:pPr>
    <w:rPr>
      <w:lang w:val="en-CA"/>
    </w:rPr>
  </w:style>
  <w:style w:type="paragraph" w:customStyle="1" w:styleId="head2">
    <w:name w:val="head 2"/>
    <w:rsid w:val="00E903EC"/>
    <w:pPr>
      <w:spacing w:before="115" w:after="20" w:line="260" w:lineRule="exact"/>
    </w:pPr>
    <w:rPr>
      <w:rFonts w:ascii="Helvetica" w:hAnsi="Helvetica"/>
      <w:b/>
      <w:sz w:val="21"/>
      <w:lang w:val="en-US" w:eastAsia="en-US"/>
    </w:rPr>
  </w:style>
  <w:style w:type="paragraph" w:customStyle="1" w:styleId="BibliographicCitation">
    <w:name w:val="Bibliographic Citation"/>
    <w:basedOn w:val="Normal"/>
    <w:link w:val="BibliographicCitationChar"/>
    <w:uiPriority w:val="1"/>
    <w:qFormat/>
    <w:rsid w:val="0144597B"/>
    <w:pPr>
      <w:spacing w:before="60" w:after="60" w:line="480" w:lineRule="auto"/>
      <w:ind w:left="432" w:hanging="432"/>
    </w:pPr>
    <w:rPr>
      <w:rFonts w:eastAsia="Calibri"/>
      <w:lang w:eastAsia="ko-KR"/>
    </w:rPr>
  </w:style>
  <w:style w:type="paragraph" w:customStyle="1" w:styleId="BibliographicCitationBook">
    <w:name w:val="Bibliographic Citation:Book"/>
    <w:basedOn w:val="Normal"/>
    <w:uiPriority w:val="1"/>
    <w:qFormat/>
    <w:rsid w:val="0144597B"/>
    <w:pPr>
      <w:spacing w:before="60" w:after="60" w:line="480" w:lineRule="auto"/>
      <w:ind w:left="432" w:hanging="432"/>
    </w:pPr>
    <w:rPr>
      <w:rFonts w:eastAsia="Calibri"/>
      <w:lang w:eastAsia="ko-KR"/>
    </w:rPr>
  </w:style>
  <w:style w:type="character" w:customStyle="1" w:styleId="CitationArticleTitle">
    <w:name w:val="Citation Article Title"/>
    <w:basedOn w:val="DefaultParagraphFont"/>
    <w:uiPriority w:val="1"/>
    <w:rsid w:val="0144597B"/>
    <w:rPr>
      <w:color w:val="0000FF"/>
      <w:sz w:val="24"/>
      <w:szCs w:val="24"/>
    </w:rPr>
  </w:style>
  <w:style w:type="character" w:customStyle="1" w:styleId="CitationPlaceofPublication">
    <w:name w:val="Citation Place of Publication"/>
    <w:basedOn w:val="DefaultParagraphFont"/>
    <w:uiPriority w:val="1"/>
    <w:rsid w:val="0144597B"/>
    <w:rPr>
      <w:color w:val="993366"/>
      <w:sz w:val="24"/>
      <w:szCs w:val="24"/>
    </w:rPr>
  </w:style>
  <w:style w:type="character" w:customStyle="1" w:styleId="CitationPublisher">
    <w:name w:val="Citation Publisher"/>
    <w:basedOn w:val="DefaultParagraphFont"/>
    <w:uiPriority w:val="1"/>
    <w:rsid w:val="0144597B"/>
    <w:rPr>
      <w:color w:val="333399"/>
      <w:sz w:val="24"/>
      <w:szCs w:val="24"/>
    </w:rPr>
  </w:style>
  <w:style w:type="character" w:customStyle="1" w:styleId="CitationSourceTitle">
    <w:name w:val="Citation Source Title"/>
    <w:basedOn w:val="DefaultParagraphFont"/>
    <w:uiPriority w:val="1"/>
    <w:rsid w:val="0144597B"/>
    <w:rPr>
      <w:i w:val="0"/>
      <w:iCs w:val="0"/>
      <w:color w:val="FF0000"/>
      <w:sz w:val="24"/>
      <w:szCs w:val="24"/>
    </w:rPr>
  </w:style>
  <w:style w:type="character" w:customStyle="1" w:styleId="CitationYear">
    <w:name w:val="Citation Year"/>
    <w:basedOn w:val="DefaultParagraphFont"/>
    <w:uiPriority w:val="1"/>
    <w:rsid w:val="0144597B"/>
    <w:rPr>
      <w:i w:val="0"/>
      <w:iCs w:val="0"/>
      <w:color w:val="99CC00"/>
      <w:sz w:val="24"/>
      <w:szCs w:val="24"/>
    </w:rPr>
  </w:style>
  <w:style w:type="character" w:customStyle="1" w:styleId="NameGiven">
    <w:name w:val="Name Given"/>
    <w:basedOn w:val="DefaultParagraphFont"/>
    <w:uiPriority w:val="1"/>
    <w:rsid w:val="0144597B"/>
    <w:rPr>
      <w:color w:val="993300"/>
      <w:sz w:val="24"/>
      <w:szCs w:val="24"/>
    </w:rPr>
  </w:style>
  <w:style w:type="character" w:customStyle="1" w:styleId="NameSurname">
    <w:name w:val="Name Surname"/>
    <w:basedOn w:val="DefaultParagraphFont"/>
    <w:uiPriority w:val="1"/>
    <w:rsid w:val="0144597B"/>
    <w:rPr>
      <w:b w:val="0"/>
      <w:bCs w:val="0"/>
      <w:i w:val="0"/>
      <w:iCs w:val="0"/>
      <w:caps w:val="0"/>
      <w:smallCaps w:val="0"/>
      <w:strike w:val="0"/>
      <w:dstrike w:val="0"/>
      <w:color w:val="808000"/>
      <w:sz w:val="24"/>
      <w:szCs w:val="24"/>
      <w:vertAlign w:val="baseline"/>
    </w:rPr>
  </w:style>
  <w:style w:type="character" w:customStyle="1" w:styleId="BibliographicCitationChar">
    <w:name w:val="Bibliographic Citation Char"/>
    <w:basedOn w:val="DefaultParagraphFont"/>
    <w:link w:val="BibliographicCitation"/>
    <w:uiPriority w:val="1"/>
    <w:rsid w:val="0144597B"/>
    <w:rPr>
      <w:rFonts w:ascii="Times New Roman" w:eastAsia="Calibri" w:hAnsi="Times New Roman" w:cs="Times New Roman"/>
      <w:sz w:val="24"/>
      <w:szCs w:val="24"/>
      <w:lang w:eastAsia="ko-KR"/>
    </w:rPr>
  </w:style>
  <w:style w:type="paragraph" w:customStyle="1" w:styleId="Paragraph">
    <w:name w:val="Paragraph"/>
    <w:basedOn w:val="Normal"/>
    <w:uiPriority w:val="1"/>
    <w:qFormat/>
    <w:rsid w:val="77B040BF"/>
    <w:pPr>
      <w:spacing w:before="60" w:after="60" w:line="480" w:lineRule="auto"/>
    </w:pPr>
    <w:rPr>
      <w:rFonts w:eastAsia="Calibri"/>
      <w:lang w:eastAsia="ko-KR"/>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06250">
      <w:bodyDiv w:val="1"/>
      <w:marLeft w:val="0"/>
      <w:marRight w:val="0"/>
      <w:marTop w:val="0"/>
      <w:marBottom w:val="0"/>
      <w:divBdr>
        <w:top w:val="none" w:sz="0" w:space="0" w:color="auto"/>
        <w:left w:val="none" w:sz="0" w:space="0" w:color="auto"/>
        <w:bottom w:val="none" w:sz="0" w:space="0" w:color="auto"/>
        <w:right w:val="none" w:sz="0" w:space="0" w:color="auto"/>
      </w:divBdr>
    </w:div>
    <w:div w:id="344869673">
      <w:bodyDiv w:val="1"/>
      <w:marLeft w:val="0"/>
      <w:marRight w:val="0"/>
      <w:marTop w:val="0"/>
      <w:marBottom w:val="0"/>
      <w:divBdr>
        <w:top w:val="none" w:sz="0" w:space="0" w:color="auto"/>
        <w:left w:val="none" w:sz="0" w:space="0" w:color="auto"/>
        <w:bottom w:val="none" w:sz="0" w:space="0" w:color="auto"/>
        <w:right w:val="none" w:sz="0" w:space="0" w:color="auto"/>
      </w:divBdr>
      <w:divsChild>
        <w:div w:id="1015032682">
          <w:marLeft w:val="0"/>
          <w:marRight w:val="0"/>
          <w:marTop w:val="0"/>
          <w:marBottom w:val="0"/>
          <w:divBdr>
            <w:top w:val="none" w:sz="0" w:space="0" w:color="auto"/>
            <w:left w:val="none" w:sz="0" w:space="0" w:color="auto"/>
            <w:bottom w:val="none" w:sz="0" w:space="0" w:color="auto"/>
            <w:right w:val="none" w:sz="0" w:space="0" w:color="auto"/>
          </w:divBdr>
          <w:divsChild>
            <w:div w:id="941300346">
              <w:marLeft w:val="0"/>
              <w:marRight w:val="0"/>
              <w:marTop w:val="0"/>
              <w:marBottom w:val="0"/>
              <w:divBdr>
                <w:top w:val="none" w:sz="0" w:space="0" w:color="auto"/>
                <w:left w:val="none" w:sz="0" w:space="0" w:color="auto"/>
                <w:bottom w:val="none" w:sz="0" w:space="0" w:color="auto"/>
                <w:right w:val="none" w:sz="0" w:space="0" w:color="auto"/>
              </w:divBdr>
              <w:divsChild>
                <w:div w:id="1817381176">
                  <w:marLeft w:val="0"/>
                  <w:marRight w:val="0"/>
                  <w:marTop w:val="0"/>
                  <w:marBottom w:val="0"/>
                  <w:divBdr>
                    <w:top w:val="none" w:sz="0" w:space="0" w:color="auto"/>
                    <w:left w:val="none" w:sz="0" w:space="0" w:color="auto"/>
                    <w:bottom w:val="none" w:sz="0" w:space="0" w:color="auto"/>
                    <w:right w:val="none" w:sz="0" w:space="0" w:color="auto"/>
                  </w:divBdr>
                  <w:divsChild>
                    <w:div w:id="16238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096287">
      <w:bodyDiv w:val="1"/>
      <w:marLeft w:val="0"/>
      <w:marRight w:val="0"/>
      <w:marTop w:val="0"/>
      <w:marBottom w:val="0"/>
      <w:divBdr>
        <w:top w:val="none" w:sz="0" w:space="0" w:color="auto"/>
        <w:left w:val="none" w:sz="0" w:space="0" w:color="auto"/>
        <w:bottom w:val="none" w:sz="0" w:space="0" w:color="auto"/>
        <w:right w:val="none" w:sz="0" w:space="0" w:color="auto"/>
      </w:divBdr>
      <w:divsChild>
        <w:div w:id="729420682">
          <w:marLeft w:val="0"/>
          <w:marRight w:val="0"/>
          <w:marTop w:val="0"/>
          <w:marBottom w:val="0"/>
          <w:divBdr>
            <w:top w:val="none" w:sz="0" w:space="0" w:color="auto"/>
            <w:left w:val="none" w:sz="0" w:space="0" w:color="auto"/>
            <w:bottom w:val="none" w:sz="0" w:space="0" w:color="auto"/>
            <w:right w:val="none" w:sz="0" w:space="0" w:color="auto"/>
          </w:divBdr>
          <w:divsChild>
            <w:div w:id="1781022615">
              <w:marLeft w:val="0"/>
              <w:marRight w:val="0"/>
              <w:marTop w:val="0"/>
              <w:marBottom w:val="0"/>
              <w:divBdr>
                <w:top w:val="none" w:sz="0" w:space="0" w:color="auto"/>
                <w:left w:val="none" w:sz="0" w:space="0" w:color="auto"/>
                <w:bottom w:val="none" w:sz="0" w:space="0" w:color="auto"/>
                <w:right w:val="none" w:sz="0" w:space="0" w:color="auto"/>
              </w:divBdr>
              <w:divsChild>
                <w:div w:id="10095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36984">
      <w:bodyDiv w:val="1"/>
      <w:marLeft w:val="0"/>
      <w:marRight w:val="0"/>
      <w:marTop w:val="0"/>
      <w:marBottom w:val="0"/>
      <w:divBdr>
        <w:top w:val="none" w:sz="0" w:space="0" w:color="auto"/>
        <w:left w:val="none" w:sz="0" w:space="0" w:color="auto"/>
        <w:bottom w:val="none" w:sz="0" w:space="0" w:color="auto"/>
        <w:right w:val="none" w:sz="0" w:space="0" w:color="auto"/>
      </w:divBdr>
      <w:divsChild>
        <w:div w:id="1758749217">
          <w:marLeft w:val="0"/>
          <w:marRight w:val="0"/>
          <w:marTop w:val="0"/>
          <w:marBottom w:val="0"/>
          <w:divBdr>
            <w:top w:val="none" w:sz="0" w:space="0" w:color="auto"/>
            <w:left w:val="none" w:sz="0" w:space="0" w:color="auto"/>
            <w:bottom w:val="none" w:sz="0" w:space="0" w:color="auto"/>
            <w:right w:val="none" w:sz="0" w:space="0" w:color="auto"/>
          </w:divBdr>
          <w:divsChild>
            <w:div w:id="590311708">
              <w:marLeft w:val="0"/>
              <w:marRight w:val="0"/>
              <w:marTop w:val="0"/>
              <w:marBottom w:val="0"/>
              <w:divBdr>
                <w:top w:val="none" w:sz="0" w:space="0" w:color="auto"/>
                <w:left w:val="none" w:sz="0" w:space="0" w:color="auto"/>
                <w:bottom w:val="none" w:sz="0" w:space="0" w:color="auto"/>
                <w:right w:val="none" w:sz="0" w:space="0" w:color="auto"/>
              </w:divBdr>
              <w:divsChild>
                <w:div w:id="9549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08829">
      <w:bodyDiv w:val="1"/>
      <w:marLeft w:val="0"/>
      <w:marRight w:val="0"/>
      <w:marTop w:val="0"/>
      <w:marBottom w:val="0"/>
      <w:divBdr>
        <w:top w:val="none" w:sz="0" w:space="0" w:color="auto"/>
        <w:left w:val="none" w:sz="0" w:space="0" w:color="auto"/>
        <w:bottom w:val="none" w:sz="0" w:space="0" w:color="auto"/>
        <w:right w:val="none" w:sz="0" w:space="0" w:color="auto"/>
      </w:divBdr>
      <w:divsChild>
        <w:div w:id="169804218">
          <w:marLeft w:val="0"/>
          <w:marRight w:val="0"/>
          <w:marTop w:val="0"/>
          <w:marBottom w:val="0"/>
          <w:divBdr>
            <w:top w:val="none" w:sz="0" w:space="0" w:color="auto"/>
            <w:left w:val="none" w:sz="0" w:space="0" w:color="auto"/>
            <w:bottom w:val="none" w:sz="0" w:space="0" w:color="auto"/>
            <w:right w:val="none" w:sz="0" w:space="0" w:color="auto"/>
          </w:divBdr>
          <w:divsChild>
            <w:div w:id="1006052255">
              <w:marLeft w:val="0"/>
              <w:marRight w:val="0"/>
              <w:marTop w:val="0"/>
              <w:marBottom w:val="0"/>
              <w:divBdr>
                <w:top w:val="none" w:sz="0" w:space="0" w:color="auto"/>
                <w:left w:val="none" w:sz="0" w:space="0" w:color="auto"/>
                <w:bottom w:val="none" w:sz="0" w:space="0" w:color="auto"/>
                <w:right w:val="none" w:sz="0" w:space="0" w:color="auto"/>
              </w:divBdr>
              <w:divsChild>
                <w:div w:id="6319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sChild>
        <w:div w:id="666906612">
          <w:marLeft w:val="0"/>
          <w:marRight w:val="0"/>
          <w:marTop w:val="0"/>
          <w:marBottom w:val="0"/>
          <w:divBdr>
            <w:top w:val="none" w:sz="0" w:space="0" w:color="auto"/>
            <w:left w:val="none" w:sz="0" w:space="0" w:color="auto"/>
            <w:bottom w:val="none" w:sz="0" w:space="0" w:color="auto"/>
            <w:right w:val="none" w:sz="0" w:space="0" w:color="auto"/>
          </w:divBdr>
          <w:divsChild>
            <w:div w:id="123933902">
              <w:marLeft w:val="0"/>
              <w:marRight w:val="0"/>
              <w:marTop w:val="0"/>
              <w:marBottom w:val="0"/>
              <w:divBdr>
                <w:top w:val="none" w:sz="0" w:space="0" w:color="auto"/>
                <w:left w:val="none" w:sz="0" w:space="0" w:color="auto"/>
                <w:bottom w:val="none" w:sz="0" w:space="0" w:color="auto"/>
                <w:right w:val="none" w:sz="0" w:space="0" w:color="auto"/>
              </w:divBdr>
              <w:divsChild>
                <w:div w:id="7717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5167">
      <w:bodyDiv w:val="1"/>
      <w:marLeft w:val="0"/>
      <w:marRight w:val="0"/>
      <w:marTop w:val="0"/>
      <w:marBottom w:val="0"/>
      <w:divBdr>
        <w:top w:val="none" w:sz="0" w:space="0" w:color="auto"/>
        <w:left w:val="none" w:sz="0" w:space="0" w:color="auto"/>
        <w:bottom w:val="none" w:sz="0" w:space="0" w:color="auto"/>
        <w:right w:val="none" w:sz="0" w:space="0" w:color="auto"/>
      </w:divBdr>
      <w:divsChild>
        <w:div w:id="1095784389">
          <w:marLeft w:val="0"/>
          <w:marRight w:val="0"/>
          <w:marTop w:val="0"/>
          <w:marBottom w:val="0"/>
          <w:divBdr>
            <w:top w:val="none" w:sz="0" w:space="0" w:color="auto"/>
            <w:left w:val="none" w:sz="0" w:space="0" w:color="auto"/>
            <w:bottom w:val="none" w:sz="0" w:space="0" w:color="auto"/>
            <w:right w:val="none" w:sz="0" w:space="0" w:color="auto"/>
          </w:divBdr>
          <w:divsChild>
            <w:div w:id="1796368596">
              <w:marLeft w:val="0"/>
              <w:marRight w:val="0"/>
              <w:marTop w:val="0"/>
              <w:marBottom w:val="0"/>
              <w:divBdr>
                <w:top w:val="none" w:sz="0" w:space="0" w:color="auto"/>
                <w:left w:val="none" w:sz="0" w:space="0" w:color="auto"/>
                <w:bottom w:val="none" w:sz="0" w:space="0" w:color="auto"/>
                <w:right w:val="none" w:sz="0" w:space="0" w:color="auto"/>
              </w:divBdr>
              <w:divsChild>
                <w:div w:id="14939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9102">
      <w:bodyDiv w:val="1"/>
      <w:marLeft w:val="0"/>
      <w:marRight w:val="0"/>
      <w:marTop w:val="0"/>
      <w:marBottom w:val="0"/>
      <w:divBdr>
        <w:top w:val="none" w:sz="0" w:space="0" w:color="auto"/>
        <w:left w:val="none" w:sz="0" w:space="0" w:color="auto"/>
        <w:bottom w:val="none" w:sz="0" w:space="0" w:color="auto"/>
        <w:right w:val="none" w:sz="0" w:space="0" w:color="auto"/>
      </w:divBdr>
      <w:divsChild>
        <w:div w:id="1617636811">
          <w:marLeft w:val="0"/>
          <w:marRight w:val="0"/>
          <w:marTop w:val="0"/>
          <w:marBottom w:val="0"/>
          <w:divBdr>
            <w:top w:val="none" w:sz="0" w:space="0" w:color="auto"/>
            <w:left w:val="none" w:sz="0" w:space="0" w:color="auto"/>
            <w:bottom w:val="none" w:sz="0" w:space="0" w:color="auto"/>
            <w:right w:val="none" w:sz="0" w:space="0" w:color="auto"/>
          </w:divBdr>
          <w:divsChild>
            <w:div w:id="253125298">
              <w:marLeft w:val="0"/>
              <w:marRight w:val="0"/>
              <w:marTop w:val="0"/>
              <w:marBottom w:val="0"/>
              <w:divBdr>
                <w:top w:val="none" w:sz="0" w:space="0" w:color="auto"/>
                <w:left w:val="none" w:sz="0" w:space="0" w:color="auto"/>
                <w:bottom w:val="none" w:sz="0" w:space="0" w:color="auto"/>
                <w:right w:val="none" w:sz="0" w:space="0" w:color="auto"/>
              </w:divBdr>
              <w:divsChild>
                <w:div w:id="191728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55177">
      <w:bodyDiv w:val="1"/>
      <w:marLeft w:val="0"/>
      <w:marRight w:val="0"/>
      <w:marTop w:val="0"/>
      <w:marBottom w:val="0"/>
      <w:divBdr>
        <w:top w:val="none" w:sz="0" w:space="0" w:color="auto"/>
        <w:left w:val="none" w:sz="0" w:space="0" w:color="auto"/>
        <w:bottom w:val="none" w:sz="0" w:space="0" w:color="auto"/>
        <w:right w:val="none" w:sz="0" w:space="0" w:color="auto"/>
      </w:divBdr>
    </w:div>
    <w:div w:id="1585459297">
      <w:bodyDiv w:val="1"/>
      <w:marLeft w:val="0"/>
      <w:marRight w:val="0"/>
      <w:marTop w:val="0"/>
      <w:marBottom w:val="0"/>
      <w:divBdr>
        <w:top w:val="none" w:sz="0" w:space="0" w:color="auto"/>
        <w:left w:val="none" w:sz="0" w:space="0" w:color="auto"/>
        <w:bottom w:val="none" w:sz="0" w:space="0" w:color="auto"/>
        <w:right w:val="none" w:sz="0" w:space="0" w:color="auto"/>
      </w:divBdr>
      <w:divsChild>
        <w:div w:id="1093360742">
          <w:marLeft w:val="0"/>
          <w:marRight w:val="0"/>
          <w:marTop w:val="0"/>
          <w:marBottom w:val="0"/>
          <w:divBdr>
            <w:top w:val="none" w:sz="0" w:space="0" w:color="auto"/>
            <w:left w:val="none" w:sz="0" w:space="0" w:color="auto"/>
            <w:bottom w:val="none" w:sz="0" w:space="0" w:color="auto"/>
            <w:right w:val="none" w:sz="0" w:space="0" w:color="auto"/>
          </w:divBdr>
          <w:divsChild>
            <w:div w:id="485710245">
              <w:marLeft w:val="0"/>
              <w:marRight w:val="0"/>
              <w:marTop w:val="0"/>
              <w:marBottom w:val="0"/>
              <w:divBdr>
                <w:top w:val="none" w:sz="0" w:space="0" w:color="auto"/>
                <w:left w:val="none" w:sz="0" w:space="0" w:color="auto"/>
                <w:bottom w:val="none" w:sz="0" w:space="0" w:color="auto"/>
                <w:right w:val="none" w:sz="0" w:space="0" w:color="auto"/>
              </w:divBdr>
              <w:divsChild>
                <w:div w:id="12340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87694">
      <w:bodyDiv w:val="1"/>
      <w:marLeft w:val="0"/>
      <w:marRight w:val="0"/>
      <w:marTop w:val="0"/>
      <w:marBottom w:val="0"/>
      <w:divBdr>
        <w:top w:val="none" w:sz="0" w:space="0" w:color="auto"/>
        <w:left w:val="none" w:sz="0" w:space="0" w:color="auto"/>
        <w:bottom w:val="none" w:sz="0" w:space="0" w:color="auto"/>
        <w:right w:val="none" w:sz="0" w:space="0" w:color="auto"/>
      </w:divBdr>
      <w:divsChild>
        <w:div w:id="142619968">
          <w:marLeft w:val="0"/>
          <w:marRight w:val="0"/>
          <w:marTop w:val="0"/>
          <w:marBottom w:val="0"/>
          <w:divBdr>
            <w:top w:val="none" w:sz="0" w:space="0" w:color="auto"/>
            <w:left w:val="none" w:sz="0" w:space="0" w:color="auto"/>
            <w:bottom w:val="none" w:sz="0" w:space="0" w:color="auto"/>
            <w:right w:val="none" w:sz="0" w:space="0" w:color="auto"/>
          </w:divBdr>
          <w:divsChild>
            <w:div w:id="1547528186">
              <w:marLeft w:val="0"/>
              <w:marRight w:val="0"/>
              <w:marTop w:val="0"/>
              <w:marBottom w:val="0"/>
              <w:divBdr>
                <w:top w:val="none" w:sz="0" w:space="0" w:color="auto"/>
                <w:left w:val="none" w:sz="0" w:space="0" w:color="auto"/>
                <w:bottom w:val="none" w:sz="0" w:space="0" w:color="auto"/>
                <w:right w:val="none" w:sz="0" w:space="0" w:color="auto"/>
              </w:divBdr>
              <w:divsChild>
                <w:div w:id="17583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82066">
      <w:bodyDiv w:val="1"/>
      <w:marLeft w:val="0"/>
      <w:marRight w:val="0"/>
      <w:marTop w:val="0"/>
      <w:marBottom w:val="0"/>
      <w:divBdr>
        <w:top w:val="none" w:sz="0" w:space="0" w:color="auto"/>
        <w:left w:val="none" w:sz="0" w:space="0" w:color="auto"/>
        <w:bottom w:val="none" w:sz="0" w:space="0" w:color="auto"/>
        <w:right w:val="none" w:sz="0" w:space="0" w:color="auto"/>
      </w:divBdr>
      <w:divsChild>
        <w:div w:id="867109475">
          <w:marLeft w:val="0"/>
          <w:marRight w:val="0"/>
          <w:marTop w:val="0"/>
          <w:marBottom w:val="0"/>
          <w:divBdr>
            <w:top w:val="none" w:sz="0" w:space="0" w:color="auto"/>
            <w:left w:val="none" w:sz="0" w:space="0" w:color="auto"/>
            <w:bottom w:val="none" w:sz="0" w:space="0" w:color="auto"/>
            <w:right w:val="none" w:sz="0" w:space="0" w:color="auto"/>
          </w:divBdr>
          <w:divsChild>
            <w:div w:id="328220824">
              <w:marLeft w:val="0"/>
              <w:marRight w:val="0"/>
              <w:marTop w:val="0"/>
              <w:marBottom w:val="0"/>
              <w:divBdr>
                <w:top w:val="none" w:sz="0" w:space="0" w:color="auto"/>
                <w:left w:val="none" w:sz="0" w:space="0" w:color="auto"/>
                <w:bottom w:val="none" w:sz="0" w:space="0" w:color="auto"/>
                <w:right w:val="none" w:sz="0" w:space="0" w:color="auto"/>
              </w:divBdr>
              <w:divsChild>
                <w:div w:id="1593123055">
                  <w:marLeft w:val="0"/>
                  <w:marRight w:val="0"/>
                  <w:marTop w:val="0"/>
                  <w:marBottom w:val="0"/>
                  <w:divBdr>
                    <w:top w:val="none" w:sz="0" w:space="0" w:color="auto"/>
                    <w:left w:val="none" w:sz="0" w:space="0" w:color="auto"/>
                    <w:bottom w:val="none" w:sz="0" w:space="0" w:color="auto"/>
                    <w:right w:val="none" w:sz="0" w:space="0" w:color="auto"/>
                  </w:divBdr>
                  <w:divsChild>
                    <w:div w:id="16102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10775">
      <w:bodyDiv w:val="1"/>
      <w:marLeft w:val="0"/>
      <w:marRight w:val="0"/>
      <w:marTop w:val="0"/>
      <w:marBottom w:val="0"/>
      <w:divBdr>
        <w:top w:val="none" w:sz="0" w:space="0" w:color="auto"/>
        <w:left w:val="none" w:sz="0" w:space="0" w:color="auto"/>
        <w:bottom w:val="none" w:sz="0" w:space="0" w:color="auto"/>
        <w:right w:val="none" w:sz="0" w:space="0" w:color="auto"/>
      </w:divBdr>
      <w:divsChild>
        <w:div w:id="588320365">
          <w:marLeft w:val="0"/>
          <w:marRight w:val="0"/>
          <w:marTop w:val="0"/>
          <w:marBottom w:val="0"/>
          <w:divBdr>
            <w:top w:val="none" w:sz="0" w:space="0" w:color="auto"/>
            <w:left w:val="none" w:sz="0" w:space="0" w:color="auto"/>
            <w:bottom w:val="none" w:sz="0" w:space="0" w:color="auto"/>
            <w:right w:val="none" w:sz="0" w:space="0" w:color="auto"/>
          </w:divBdr>
          <w:divsChild>
            <w:div w:id="1527718728">
              <w:marLeft w:val="0"/>
              <w:marRight w:val="0"/>
              <w:marTop w:val="0"/>
              <w:marBottom w:val="0"/>
              <w:divBdr>
                <w:top w:val="none" w:sz="0" w:space="0" w:color="auto"/>
                <w:left w:val="none" w:sz="0" w:space="0" w:color="auto"/>
                <w:bottom w:val="none" w:sz="0" w:space="0" w:color="auto"/>
                <w:right w:val="none" w:sz="0" w:space="0" w:color="auto"/>
              </w:divBdr>
              <w:divsChild>
                <w:div w:id="15671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728130">
      <w:bodyDiv w:val="1"/>
      <w:marLeft w:val="0"/>
      <w:marRight w:val="0"/>
      <w:marTop w:val="0"/>
      <w:marBottom w:val="0"/>
      <w:divBdr>
        <w:top w:val="none" w:sz="0" w:space="0" w:color="auto"/>
        <w:left w:val="none" w:sz="0" w:space="0" w:color="auto"/>
        <w:bottom w:val="none" w:sz="0" w:space="0" w:color="auto"/>
        <w:right w:val="none" w:sz="0" w:space="0" w:color="auto"/>
      </w:divBdr>
      <w:divsChild>
        <w:div w:id="1670257455">
          <w:marLeft w:val="0"/>
          <w:marRight w:val="0"/>
          <w:marTop w:val="0"/>
          <w:marBottom w:val="0"/>
          <w:divBdr>
            <w:top w:val="none" w:sz="0" w:space="0" w:color="auto"/>
            <w:left w:val="none" w:sz="0" w:space="0" w:color="auto"/>
            <w:bottom w:val="none" w:sz="0" w:space="0" w:color="auto"/>
            <w:right w:val="none" w:sz="0" w:space="0" w:color="auto"/>
          </w:divBdr>
          <w:divsChild>
            <w:div w:id="1373338585">
              <w:marLeft w:val="0"/>
              <w:marRight w:val="0"/>
              <w:marTop w:val="0"/>
              <w:marBottom w:val="0"/>
              <w:divBdr>
                <w:top w:val="none" w:sz="0" w:space="0" w:color="auto"/>
                <w:left w:val="none" w:sz="0" w:space="0" w:color="auto"/>
                <w:bottom w:val="none" w:sz="0" w:space="0" w:color="auto"/>
                <w:right w:val="none" w:sz="0" w:space="0" w:color="auto"/>
              </w:divBdr>
              <w:divsChild>
                <w:div w:id="9964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B8D53-7BCC-45BC-8E49-B51CD4F4E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794</Words>
  <Characters>4227</Characters>
  <Application>Microsoft Office Word</Application>
  <DocSecurity>0</DocSecurity>
  <Lines>35</Lines>
  <Paragraphs>10</Paragraphs>
  <ScaleCrop>false</ScaleCrop>
  <Company>Oxford University Press Canada</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On the Easter Edge of the Mainland</dc:title>
  <dc:creator>End User</dc:creator>
  <cp:lastModifiedBy>Thompson, Lauren</cp:lastModifiedBy>
  <cp:revision>8</cp:revision>
  <cp:lastPrinted>2018-08-13T19:58:00Z</cp:lastPrinted>
  <dcterms:created xsi:type="dcterms:W3CDTF">2023-02-21T14:44:00Z</dcterms:created>
  <dcterms:modified xsi:type="dcterms:W3CDTF">2023-02-21T14:45:00Z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2022-05-27T16:29:41Z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4a806554-02d7-4731-bd2f-5b243125024d</vt:lpwstr>
  </property>
  <property fmtid="{D5CDD505-2E9C-101B-9397-08002B2CF9AE}" pid="8" name="MSIP_Label_be5cb09a-2992-49d6-8ac9-5f63e7b1ad2f_ContentBits">
    <vt:lpwstr>0</vt:lpwstr>
  </property>
</Properties>
</file>