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CDE" w:rsidRPr="00B90CA9" w:rsidRDefault="00A05CDE" w:rsidP="00A05CDE">
      <w:pPr>
        <w:spacing w:after="0" w:line="240" w:lineRule="auto"/>
        <w:contextualSpacing/>
        <w:jc w:val="center"/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GB"/>
        </w:rPr>
      </w:pPr>
      <w:r w:rsidRPr="00B90CA9">
        <w:rPr>
          <w:rFonts w:ascii="Calibri Light" w:eastAsia="Times New Roman" w:hAnsi="Calibri Light" w:cs="Calibri Light"/>
          <w:b/>
          <w:bCs/>
          <w:color w:val="011E41"/>
          <w:spacing w:val="-10"/>
          <w:kern w:val="28"/>
          <w:sz w:val="96"/>
          <w:szCs w:val="96"/>
          <w:lang w:val="en-GB"/>
        </w:rPr>
        <w:t>Teaching Language in Context</w:t>
      </w:r>
    </w:p>
    <w:p w:rsidR="00A05CDE" w:rsidRPr="00B90CA9" w:rsidRDefault="00A05CDE" w:rsidP="00A05CDE">
      <w:pPr>
        <w:jc w:val="center"/>
        <w:rPr>
          <w:rFonts w:eastAsiaTheme="minorEastAsia"/>
          <w:color w:val="595959"/>
          <w:spacing w:val="15"/>
          <w:sz w:val="52"/>
          <w:szCs w:val="52"/>
          <w:lang w:val="en-GB"/>
        </w:rPr>
      </w:pPr>
      <w:r w:rsidRPr="00A05CDE">
        <w:rPr>
          <w:rFonts w:eastAsiaTheme="minorEastAsia"/>
          <w:color w:val="595959"/>
          <w:spacing w:val="15"/>
          <w:sz w:val="52"/>
          <w:szCs w:val="52"/>
          <w:lang w:val="en-GB"/>
        </w:rPr>
        <w:t>Scope and sequence of genre</w:t>
      </w:r>
    </w:p>
    <w:p w:rsidR="00A05CDE" w:rsidRPr="00B90CA9" w:rsidRDefault="00A05CDE" w:rsidP="00A05CDE">
      <w:pPr>
        <w:jc w:val="center"/>
        <w:rPr>
          <w:lang w:val="en-GB"/>
        </w:rPr>
      </w:pPr>
      <w:r w:rsidRPr="00B90CA9">
        <w:rPr>
          <w:noProof/>
          <w:lang w:eastAsia="fr-FR"/>
        </w:rPr>
        <w:drawing>
          <wp:inline distT="0" distB="0" distL="0" distR="0" wp14:anchorId="11E2A272" wp14:editId="3E7EB7DF">
            <wp:extent cx="2203087" cy="2957084"/>
            <wp:effectExtent l="0" t="0" r="698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87" cy="295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CDE" w:rsidRPr="00B90CA9" w:rsidRDefault="00A05CDE" w:rsidP="00A05CDE">
      <w:pPr>
        <w:jc w:val="center"/>
        <w:rPr>
          <w:rFonts w:ascii="Century Gothic" w:hAnsi="Century Gothic"/>
          <w:b/>
          <w:bCs/>
          <w:sz w:val="36"/>
          <w:lang w:val="en-GB"/>
        </w:rPr>
      </w:pPr>
      <w:r w:rsidRPr="00B90CA9">
        <w:rPr>
          <w:rFonts w:ascii="Century Gothic" w:hAnsi="Century Gothic"/>
          <w:b/>
          <w:bCs/>
          <w:sz w:val="36"/>
          <w:lang w:val="en-GB"/>
        </w:rPr>
        <w:t>Beverly Derewianka &amp; Pauline Jones</w:t>
      </w:r>
    </w:p>
    <w:p w:rsidR="00A05CDE" w:rsidRPr="00B90CA9" w:rsidRDefault="00A05CDE" w:rsidP="00A05CDE">
      <w:pPr>
        <w:jc w:val="center"/>
        <w:rPr>
          <w:rFonts w:ascii="Calibri" w:eastAsia="Calibri" w:hAnsi="Calibri" w:cs="Times New Roman"/>
          <w:b/>
          <w:bCs/>
          <w:sz w:val="28"/>
          <w:lang w:val="en-GB"/>
        </w:rPr>
      </w:pPr>
      <w:r w:rsidRPr="00B90CA9">
        <w:rPr>
          <w:rFonts w:ascii="Century Gothic" w:eastAsia="Calibri" w:hAnsi="Century Gothic" w:cs="Times New Roman"/>
          <w:b/>
          <w:bCs/>
          <w:sz w:val="28"/>
          <w:lang w:val="en-GB"/>
        </w:rPr>
        <w:t>Oxford University Press</w:t>
      </w:r>
    </w:p>
    <w:p w:rsidR="00A05CDE" w:rsidRPr="00B90CA9" w:rsidRDefault="00A05CDE" w:rsidP="00A05CDE">
      <w:pPr>
        <w:jc w:val="center"/>
        <w:rPr>
          <w:rFonts w:ascii="Calibri" w:eastAsia="Calibri" w:hAnsi="Calibri" w:cs="Times New Roman"/>
          <w:highlight w:val="yellow"/>
          <w:lang w:val="en-GB"/>
        </w:rPr>
      </w:pPr>
      <w:r w:rsidRPr="00B90CA9">
        <w:rPr>
          <w:rFonts w:ascii="Calibri" w:eastAsia="Calibri" w:hAnsi="Calibri" w:cs="Times New Roman"/>
          <w:highlight w:val="yellow"/>
          <w:lang w:val="en-GB"/>
        </w:rPr>
        <w:t>ISBN: Print: 9780190354633</w:t>
      </w:r>
    </w:p>
    <w:p w:rsidR="00A05CDE" w:rsidRDefault="00A05CDE" w:rsidP="00A05CDE">
      <w:pPr>
        <w:jc w:val="center"/>
      </w:pPr>
      <w:r w:rsidRPr="00B90CA9">
        <w:rPr>
          <w:rFonts w:ascii="Calibri" w:eastAsia="Calibri" w:hAnsi="Calibri" w:cs="Times New Roman"/>
          <w:highlight w:val="yellow"/>
          <w:lang w:val="en-GB"/>
        </w:rPr>
        <w:t>ISBN: eBook: 9780190354640</w:t>
      </w: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68"/>
        <w:gridCol w:w="3493"/>
        <w:gridCol w:w="1747"/>
        <w:gridCol w:w="1747"/>
        <w:gridCol w:w="3494"/>
        <w:gridCol w:w="3494"/>
        <w:gridCol w:w="3494"/>
      </w:tblGrid>
      <w:tr w:rsidR="00BF6E3D" w:rsidTr="00A05CDE">
        <w:tc>
          <w:tcPr>
            <w:tcW w:w="2568" w:type="dxa"/>
            <w:shd w:val="clear" w:color="auto" w:fill="5B9BD5" w:themeFill="accent1"/>
          </w:tcPr>
          <w:p w:rsidR="00BF6E3D" w:rsidRPr="00A05CDE" w:rsidRDefault="00BF6E3D" w:rsidP="00A05CDE">
            <w:pPr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</w:pPr>
          </w:p>
        </w:tc>
        <w:tc>
          <w:tcPr>
            <w:tcW w:w="3493" w:type="dxa"/>
            <w:shd w:val="clear" w:color="auto" w:fill="5B9BD5" w:themeFill="accent1"/>
          </w:tcPr>
          <w:p w:rsidR="00BF6E3D" w:rsidRPr="00A05CDE" w:rsidRDefault="00BF6E3D" w:rsidP="00A05CDE">
            <w:pPr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</w:pPr>
            <w:r w:rsidRPr="00A05CDE"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  <w:t>F-2</w:t>
            </w:r>
          </w:p>
        </w:tc>
        <w:tc>
          <w:tcPr>
            <w:tcW w:w="3494" w:type="dxa"/>
            <w:gridSpan w:val="2"/>
            <w:shd w:val="clear" w:color="auto" w:fill="5B9BD5" w:themeFill="accent1"/>
          </w:tcPr>
          <w:p w:rsidR="00BF6E3D" w:rsidRPr="00A05CDE" w:rsidRDefault="00BF6E3D" w:rsidP="00A05CDE">
            <w:pPr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</w:pPr>
            <w:r w:rsidRPr="00A05CDE"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  <w:t>3-4</w:t>
            </w:r>
          </w:p>
        </w:tc>
        <w:tc>
          <w:tcPr>
            <w:tcW w:w="3494" w:type="dxa"/>
            <w:shd w:val="clear" w:color="auto" w:fill="5B9BD5" w:themeFill="accent1"/>
          </w:tcPr>
          <w:p w:rsidR="00BF6E3D" w:rsidRPr="00A05CDE" w:rsidRDefault="00BF6E3D" w:rsidP="00A05CDE">
            <w:pPr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</w:pPr>
            <w:r w:rsidRPr="00A05CDE"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  <w:t>5-6</w:t>
            </w:r>
          </w:p>
        </w:tc>
        <w:tc>
          <w:tcPr>
            <w:tcW w:w="3494" w:type="dxa"/>
            <w:shd w:val="clear" w:color="auto" w:fill="5B9BD5" w:themeFill="accent1"/>
          </w:tcPr>
          <w:p w:rsidR="00BF6E3D" w:rsidRPr="00A05CDE" w:rsidRDefault="00BF6E3D" w:rsidP="00A05CDE">
            <w:pPr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</w:pPr>
            <w:r w:rsidRPr="00A05CDE"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  <w:t>7-8</w:t>
            </w:r>
          </w:p>
        </w:tc>
        <w:tc>
          <w:tcPr>
            <w:tcW w:w="3494" w:type="dxa"/>
            <w:shd w:val="clear" w:color="auto" w:fill="5B9BD5" w:themeFill="accent1"/>
          </w:tcPr>
          <w:p w:rsidR="00BF6E3D" w:rsidRPr="00A05CDE" w:rsidRDefault="00BF6E3D" w:rsidP="00A05CDE">
            <w:pPr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</w:pPr>
            <w:r w:rsidRPr="00A05CDE">
              <w:rPr>
                <w:color w:val="FFFFFF" w:themeColor="background1"/>
                <w:kern w:val="2"/>
                <w:sz w:val="24"/>
                <w:lang w:val="en-US"/>
                <w14:ligatures w14:val="standardContextual"/>
              </w:rPr>
              <w:t>9-10</w:t>
            </w:r>
          </w:p>
        </w:tc>
      </w:tr>
      <w:tr w:rsidR="00BF6E3D" w:rsidTr="00A05CDE">
        <w:tc>
          <w:tcPr>
            <w:tcW w:w="2568" w:type="dxa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Appreciating and creating stories</w:t>
            </w: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Immersion in narratives, shared and independent reading of familiar texts, creating (initially) brief, often multimodal stories</w:t>
            </w:r>
          </w:p>
        </w:tc>
        <w:tc>
          <w:tcPr>
            <w:tcW w:w="13976" w:type="dxa"/>
            <w:gridSpan w:val="5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Increasingly more explicit awareness of how stories work through collaborative reading, discussing and composing of stories using different modes (linguistic, visual, aural, spatial and gestural) in a variety of media (oral or live, print, screen or digital)</w:t>
            </w:r>
          </w:p>
        </w:tc>
      </w:tr>
      <w:tr w:rsidR="00BF6E3D" w:rsidTr="00A05CDE">
        <w:trPr>
          <w:trHeight w:val="162"/>
        </w:trPr>
        <w:tc>
          <w:tcPr>
            <w:tcW w:w="2568" w:type="dxa"/>
            <w:vMerge w:val="restart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Recounting what happened</w:t>
            </w: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Simple recounts of personal experience (oral initially)</w:t>
            </w: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Written recounts of group experiences (excursions)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Procedural recounts in oral and written modes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Biographies, autobiographical recounts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Empathetic recounts/biographies, literary recounts</w:t>
            </w: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Historical accounts (with elements of explanation)</w:t>
            </w:r>
          </w:p>
        </w:tc>
      </w:tr>
      <w:tr w:rsidR="00BF6E3D" w:rsidTr="00A05CDE">
        <w:trPr>
          <w:trHeight w:val="202"/>
        </w:trPr>
        <w:tc>
          <w:tcPr>
            <w:tcW w:w="2568" w:type="dxa"/>
            <w:vMerge w:val="restart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Responding to texts and artworks</w:t>
            </w: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Brief emotional responses</w:t>
            </w:r>
          </w:p>
        </w:tc>
        <w:tc>
          <w:tcPr>
            <w:tcW w:w="1747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Personal responses to texts and so on</w:t>
            </w:r>
          </w:p>
        </w:tc>
        <w:tc>
          <w:tcPr>
            <w:tcW w:w="5241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Reviews of literary and media texts, artworks and games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20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Analytical responses including character analyses, and in secondary school stylistic analyses, comparative analyses</w:t>
            </w:r>
          </w:p>
        </w:tc>
      </w:tr>
      <w:tr w:rsidR="00BF6E3D" w:rsidTr="00A05CDE">
        <w:trPr>
          <w:trHeight w:val="20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Interpretive analyses</w:t>
            </w:r>
          </w:p>
        </w:tc>
      </w:tr>
      <w:tr w:rsidR="00BF6E3D" w:rsidTr="00A05CDE">
        <w:trPr>
          <w:trHeight w:val="20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Critical analyses</w:t>
            </w:r>
          </w:p>
        </w:tc>
      </w:tr>
      <w:tr w:rsidR="00BF6E3D" w:rsidTr="00A05CDE">
        <w:trPr>
          <w:trHeight w:val="162"/>
        </w:trPr>
        <w:tc>
          <w:tcPr>
            <w:tcW w:w="2568" w:type="dxa"/>
            <w:vMerge w:val="restart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Observing and describing the world</w:t>
            </w: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Simple descriptions of specific entities (often spoken and with image)</w:t>
            </w:r>
          </w:p>
        </w:tc>
        <w:tc>
          <w:tcPr>
            <w:tcW w:w="10482" w:type="dxa"/>
            <w:gridSpan w:val="4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Descriptive reports (often multimodal) about more complex and generalised phenomena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3976" w:type="dxa"/>
            <w:gridSpan w:val="5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Classifying reports</w:t>
            </w: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6987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Compositional reports (as labelled diagrams)</w:t>
            </w: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Compositional reports comprising language and image (diagrams, photographs or drawings)</w:t>
            </w: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Contrastive reports</w:t>
            </w:r>
          </w:p>
        </w:tc>
      </w:tr>
      <w:tr w:rsidR="00BF6E3D" w:rsidTr="00A05CDE">
        <w:trPr>
          <w:trHeight w:val="160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Historical reports &gt;&gt; period studies and site interpretations</w:t>
            </w:r>
          </w:p>
        </w:tc>
      </w:tr>
      <w:tr w:rsidR="00BF6E3D" w:rsidTr="00A05CDE">
        <w:tc>
          <w:tcPr>
            <w:tcW w:w="2568" w:type="dxa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Explaining how and why</w:t>
            </w: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 xml:space="preserve">Simple sequential explanations of familiar phenomena (often oral </w:t>
            </w:r>
            <w:bookmarkStart w:id="0" w:name="_GoBack"/>
            <w:bookmarkEnd w:id="0"/>
            <w:r w:rsidRPr="00BF6E3D">
              <w:rPr>
                <w:lang w:val="en-GB"/>
              </w:rPr>
              <w:t>accompanied by image)</w:t>
            </w: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Spoken, written and multimodal sequential explanations of more complex phenomena</w:t>
            </w: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Multimodal sequential explanations of increasingly more complex phenomena as topics become more subject-specific and include abstract and technical entities and processes</w:t>
            </w:r>
          </w:p>
        </w:tc>
      </w:tr>
      <w:tr w:rsidR="00BF6E3D" w:rsidTr="00A05CDE">
        <w:trPr>
          <w:trHeight w:val="206"/>
        </w:trPr>
        <w:tc>
          <w:tcPr>
            <w:tcW w:w="2568" w:type="dxa"/>
            <w:vMerge w:val="restart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Persuading others</w:t>
            </w:r>
          </w:p>
        </w:tc>
        <w:tc>
          <w:tcPr>
            <w:tcW w:w="6987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Expressing opinions in brief spoken, written, multimodal texts &gt;&gt; simple arguments about familiar ideas and topics jointly researched by class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205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Spoken, written and multimodal arguments (including speeches) supported by evidence on less familiar topics to familiar audiences with increasingly ‘objective’ stance</w:t>
            </w: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Sustained well-researched arguments dealing with more complex issues, including formal debates and speeches to unfamiliar audiences</w:t>
            </w:r>
          </w:p>
        </w:tc>
      </w:tr>
      <w:tr w:rsidR="00BF6E3D" w:rsidTr="00A05CDE">
        <w:trPr>
          <w:trHeight w:val="105"/>
        </w:trPr>
        <w:tc>
          <w:tcPr>
            <w:tcW w:w="2568" w:type="dxa"/>
            <w:vMerge w:val="restart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Texts for inquiring</w:t>
            </w:r>
          </w:p>
        </w:tc>
        <w:tc>
          <w:tcPr>
            <w:tcW w:w="6987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Simple investigations of observable phenomena, recorded as drawings and initially brief multimodal texts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Investigation reports of topics with greater depth</w:t>
            </w: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Investigation reports as extended, multi-stage texts (often digital and multimodal with complex diagrams and tables)</w:t>
            </w:r>
          </w:p>
        </w:tc>
      </w:tr>
      <w:tr w:rsidR="00BF6E3D" w:rsidTr="00A05CDE">
        <w:trPr>
          <w:trHeight w:val="102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Fair test reports (simple experiments with 1 variable)</w:t>
            </w: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Experimental reports (incl. prac reports and science reports)</w:t>
            </w:r>
          </w:p>
        </w:tc>
      </w:tr>
      <w:tr w:rsidR="00BF6E3D" w:rsidTr="00A05CDE">
        <w:trPr>
          <w:trHeight w:val="102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Design reports addressing local and familiar issues (often in teams)</w:t>
            </w: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Design portfolios in response to more complex and larger scale problems across a range of subjects</w:t>
            </w:r>
          </w:p>
        </w:tc>
      </w:tr>
      <w:tr w:rsidR="00BF6E3D" w:rsidTr="00A05CDE">
        <w:trPr>
          <w:trHeight w:val="102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6988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Problem solution reports dealing with local and familiar issues</w:t>
            </w:r>
          </w:p>
        </w:tc>
        <w:tc>
          <w:tcPr>
            <w:tcW w:w="6988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Problem solution reports dealing with more abstract and technical information</w:t>
            </w:r>
          </w:p>
        </w:tc>
      </w:tr>
      <w:tr w:rsidR="00BF6E3D" w:rsidTr="00A05CDE">
        <w:trPr>
          <w:trHeight w:val="137"/>
        </w:trPr>
        <w:tc>
          <w:tcPr>
            <w:tcW w:w="2568" w:type="dxa"/>
            <w:vMerge w:val="restart"/>
            <w:shd w:val="clear" w:color="auto" w:fill="DEEAF6" w:themeFill="accent1" w:themeFillTint="33"/>
          </w:tcPr>
          <w:p w:rsidR="00BF6E3D" w:rsidRPr="00A05CDE" w:rsidRDefault="00BF6E3D" w:rsidP="00A05CDE">
            <w:pPr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</w:pPr>
            <w:r w:rsidRPr="00A05CDE">
              <w:rPr>
                <w:b/>
                <w:color w:val="000000" w:themeColor="text1"/>
                <w:kern w:val="2"/>
                <w:lang w:val="en-US"/>
                <w14:ligatures w14:val="standardContextual"/>
              </w:rPr>
              <w:t>Poetry</w:t>
            </w:r>
          </w:p>
        </w:tc>
        <w:tc>
          <w:tcPr>
            <w:tcW w:w="10481" w:type="dxa"/>
            <w:gridSpan w:val="4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Poetry in a range of genres (including recounts, exempla, descriptions), often featuring wordplay and humour in multimodal forms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137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0482" w:type="dxa"/>
            <w:gridSpan w:val="4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Poetry as description (often of particular places and people), recounts of events</w:t>
            </w:r>
          </w:p>
        </w:tc>
        <w:tc>
          <w:tcPr>
            <w:tcW w:w="3494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</w:tr>
      <w:tr w:rsidR="00BF6E3D" w:rsidTr="00A05CDE">
        <w:trPr>
          <w:trHeight w:val="137"/>
        </w:trPr>
        <w:tc>
          <w:tcPr>
            <w:tcW w:w="2568" w:type="dxa"/>
            <w:vMerge/>
            <w:shd w:val="clear" w:color="auto" w:fill="DEEAF6" w:themeFill="accent1" w:themeFillTint="33"/>
          </w:tcPr>
          <w:p w:rsidR="00BF6E3D" w:rsidRPr="00BD5298" w:rsidRDefault="00BF6E3D" w:rsidP="00BF6E3D">
            <w:pPr>
              <w:jc w:val="center"/>
              <w:rPr>
                <w:rFonts w:ascii="Aptos" w:eastAsia="Times New Roman" w:hAnsi="Aptos" w:cs="Times New Roman"/>
                <w:b/>
                <w:bCs/>
                <w:sz w:val="24"/>
                <w:lang w:val="en-GB"/>
              </w:rPr>
            </w:pPr>
          </w:p>
        </w:tc>
        <w:tc>
          <w:tcPr>
            <w:tcW w:w="3493" w:type="dxa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3494" w:type="dxa"/>
            <w:gridSpan w:val="2"/>
          </w:tcPr>
          <w:p w:rsidR="00BF6E3D" w:rsidRDefault="00BF6E3D" w:rsidP="00BF6E3D">
            <w:pPr>
              <w:rPr>
                <w:lang w:val="en-GB"/>
              </w:rPr>
            </w:pPr>
          </w:p>
        </w:tc>
        <w:tc>
          <w:tcPr>
            <w:tcW w:w="10482" w:type="dxa"/>
            <w:gridSpan w:val="3"/>
          </w:tcPr>
          <w:p w:rsidR="00BF6E3D" w:rsidRDefault="00BF6E3D" w:rsidP="00BF6E3D">
            <w:pPr>
              <w:rPr>
                <w:lang w:val="en-GB"/>
              </w:rPr>
            </w:pPr>
            <w:r w:rsidRPr="00BF6E3D">
              <w:rPr>
                <w:lang w:val="en-GB"/>
              </w:rPr>
              <w:t>Poetry as recounts and narratives, and as challenges in secondary school</w:t>
            </w:r>
          </w:p>
        </w:tc>
      </w:tr>
    </w:tbl>
    <w:p w:rsidR="00F94D64" w:rsidRPr="00BF6E3D" w:rsidRDefault="00F94D64">
      <w:pPr>
        <w:rPr>
          <w:lang w:val="en-GB"/>
        </w:rPr>
      </w:pPr>
    </w:p>
    <w:sectPr w:rsidR="00F94D64" w:rsidRPr="00BF6E3D" w:rsidSect="009D4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08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DE" w:rsidRDefault="00A05CDE" w:rsidP="00A05CDE">
      <w:pPr>
        <w:spacing w:after="0" w:line="240" w:lineRule="auto"/>
      </w:pPr>
      <w:r>
        <w:separator/>
      </w:r>
    </w:p>
  </w:endnote>
  <w:endnote w:type="continuationSeparator" w:id="0">
    <w:p w:rsidR="00A05CDE" w:rsidRDefault="00A05CDE" w:rsidP="00A0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DE" w:rsidRDefault="00A05C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DE" w:rsidRPr="00A05CDE" w:rsidRDefault="00A05CDE" w:rsidP="00A05CDE">
    <w:pPr>
      <w:pStyle w:val="Pieddepage"/>
      <w:rPr>
        <w:rFonts w:ascii="Calibri" w:eastAsia="Calibri" w:hAnsi="Calibri" w:cs="Times New Roman"/>
        <w:kern w:val="2"/>
        <w:sz w:val="16"/>
        <w:lang w:val="en-US"/>
        <w14:ligatures w14:val="standardContextual"/>
      </w:rPr>
    </w:pP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t>© Oxford University Press 2026</w:t>
    </w: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ptab w:relativeTo="margin" w:alignment="right" w:leader="none"/>
    </w: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t xml:space="preserve">Page </w:t>
    </w: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fldChar w:fldCharType="begin"/>
    </w: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instrText xml:space="preserve"> PAGE   \* MERGEFORMAT </w:instrText>
    </w: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fldChar w:fldCharType="separate"/>
    </w:r>
    <w:r w:rsidR="00EF189A">
      <w:rPr>
        <w:rFonts w:ascii="Calibri" w:eastAsia="Calibri" w:hAnsi="Calibri" w:cs="Times New Roman"/>
        <w:noProof/>
        <w:kern w:val="2"/>
        <w:sz w:val="16"/>
        <w:lang w:val="en-US"/>
        <w14:ligatures w14:val="standardContextual"/>
      </w:rPr>
      <w:t>2</w:t>
    </w: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fldChar w:fldCharType="end"/>
    </w:r>
  </w:p>
  <w:p w:rsidR="00A05CDE" w:rsidRPr="00A05CDE" w:rsidRDefault="00A05CDE" w:rsidP="00A05CDE">
    <w:pPr>
      <w:pBdr>
        <w:top w:val="single" w:sz="6" w:space="3" w:color="BFBFBF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2"/>
        <w:sz w:val="16"/>
        <w:lang w:val="en-US"/>
        <w14:ligatures w14:val="standardContextual"/>
      </w:rPr>
    </w:pPr>
    <w:r w:rsidRPr="00A05CDE">
      <w:rPr>
        <w:rFonts w:ascii="Calibri" w:eastAsia="Calibri" w:hAnsi="Calibri" w:cs="Times New Roman"/>
        <w:kern w:val="2"/>
        <w:sz w:val="16"/>
        <w:lang w:val="en-US"/>
        <w14:ligatures w14:val="standardContextual"/>
      </w:rPr>
      <w:t>Permission has been granted for this page to be photocopied within the purchasing institution only. No part of this publication may be reproduced, stored in a retrieval system, transmitted, used for text and data mining, or used for training artificial intelligence. </w:t>
    </w:r>
  </w:p>
  <w:p w:rsidR="00A05CDE" w:rsidRDefault="00A05CDE">
    <w:pPr>
      <w:pStyle w:val="Pieddepage"/>
    </w:pPr>
  </w:p>
  <w:p w:rsidR="00A05CDE" w:rsidRDefault="00A05C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DE" w:rsidRDefault="00A05C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DE" w:rsidRDefault="00A05CDE" w:rsidP="00A05CDE">
      <w:pPr>
        <w:spacing w:after="0" w:line="240" w:lineRule="auto"/>
      </w:pPr>
      <w:r>
        <w:separator/>
      </w:r>
    </w:p>
  </w:footnote>
  <w:footnote w:type="continuationSeparator" w:id="0">
    <w:p w:rsidR="00A05CDE" w:rsidRDefault="00A05CDE" w:rsidP="00A0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DE" w:rsidRDefault="00A05C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DE" w:rsidRDefault="00A05CDE">
    <w:pPr>
      <w:pStyle w:val="En-tte"/>
    </w:pPr>
    <w:r w:rsidRPr="00A05CDE">
      <w:rPr>
        <w:rFonts w:ascii="Calibri" w:eastAsia="Calibri" w:hAnsi="Calibri" w:cs="Times New Roman"/>
        <w:noProof/>
        <w:kern w:val="2"/>
        <w:lang w:eastAsia="fr-FR"/>
        <w14:ligatures w14:val="standardContextual"/>
      </w:rPr>
      <w:drawing>
        <wp:inline distT="0" distB="0" distL="0" distR="0" wp14:anchorId="3C60B2EF" wp14:editId="64BD3F88">
          <wp:extent cx="2718000" cy="964800"/>
          <wp:effectExtent l="0" t="0" r="0" b="0"/>
          <wp:docPr id="4" name="image1.png">
            <a:extLst xmlns:a="http://schemas.openxmlformats.org/drawingml/2006/main">
              <a:ext uri="{C183D7F6-B498-43B3-948B-1728B52AA6E4}">
                <adec:decorative xmlns="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arto="http://schemas.microsoft.com/office/word/2006/arto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C183D7F6-B498-43B3-948B-1728B52AA6E4}">
                        <adec:decorative xmlns="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xmlns:arto="http://schemas.microsoft.com/office/word/2006/arto" val="1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8000" cy="96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05CDE" w:rsidRDefault="00A05C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CDE" w:rsidRDefault="00A05C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3D"/>
    <w:rsid w:val="009D486E"/>
    <w:rsid w:val="00A05CDE"/>
    <w:rsid w:val="00BF6E3D"/>
    <w:rsid w:val="00EF189A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227B02-6912-4724-B678-D855A5AD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F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CDE"/>
  </w:style>
  <w:style w:type="paragraph" w:styleId="Pieddepage">
    <w:name w:val="footer"/>
    <w:basedOn w:val="Normal"/>
    <w:link w:val="PieddepageCar"/>
    <w:uiPriority w:val="99"/>
    <w:unhideWhenUsed/>
    <w:rsid w:val="00A0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28" ma:contentTypeDescription="Create a new document." ma:contentTypeScope="" ma:versionID="f12f4a8fbefd4c1c38d02fbfc39350d1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9996b4a4e096604b2276771b640f7172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Division" minOccurs="0"/>
                <xsd:element ref="ns3:Documenttype" minOccurs="0"/>
                <xsd:element ref="ns3:Workflowstage" minOccurs="0"/>
                <xsd:element ref="ns3:Approved" minOccurs="0"/>
                <xsd:element ref="ns3:Documentowner" minOccurs="0"/>
                <xsd:element ref="ns3:Dateandtime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59d18c-911b-4461-9f29-2e839d503b97}" ma:internalName="TaxCatchAll" ma:showField="CatchAllData" ma:web="86c803ff-60ea-4821-8561-49a30c84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ivision" ma:index="27" nillable="true" ma:displayName="Division" ma:format="Dropdown" ma:internalName="Divi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condary"/>
                    <xsd:enumeration value="Primary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8" nillable="true" ma:displayName="Document type" ma:format="Dropdown" ma:indexed="true" ma:internalName="Documenttype">
      <xsd:simpleType>
        <xsd:restriction base="dms:Text">
          <xsd:maxLength value="255"/>
        </xsd:restriction>
      </xsd:simpleType>
    </xsd:element>
    <xsd:element name="Workflowstage" ma:index="29" nillable="true" ma:displayName="Workflow stage" ma:format="Dropdown" ma:internalName="Workflow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ng &amp; development"/>
                    <xsd:enumeration value="Editing"/>
                    <xsd:enumeration value="Artwork"/>
                    <xsd:enumeration value="Layout &amp; design"/>
                    <xsd:enumeration value="Digital resources"/>
                    <xsd:enumeration value="Diversity &amp; inclusion"/>
                    <xsd:enumeration value="E2E"/>
                  </xsd:restriction>
                </xsd:simpleType>
              </xsd:element>
            </xsd:sequence>
          </xsd:extension>
        </xsd:complexContent>
      </xsd:complexType>
    </xsd:element>
    <xsd:element name="Approved" ma:index="30" nillable="true" ma:displayName="Approved" ma:default="0" ma:format="Dropdown" ma:internalName="Approved">
      <xsd:simpleType>
        <xsd:restriction base="dms:Boolean"/>
      </xsd:simpleType>
    </xsd:element>
    <xsd:element name="Documentowner" ma:index="31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32" nillable="true" ma:displayName="Date and time" ma:format="DateTime" ma:internalName="Dateandtime">
      <xsd:simpleType>
        <xsd:restriction base="dms:DateTim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3021986-1927-41b2-ad02-75262291dab9" xsi:nil="true"/>
    <Approved xmlns="23021986-1927-41b2-ad02-75262291dab9">false</Approved>
    <TaxCatchAll xmlns="86c803ff-60ea-4821-8561-49a30c846f16" xsi:nil="true"/>
    <Division xmlns="23021986-1927-41b2-ad02-75262291dab9" xsi:nil="true"/>
    <_ip_UnifiedCompliancePolicyProperties xmlns="http://schemas.microsoft.com/sharepoint/v3" xsi:nil="true"/>
    <Dateandtime xmlns="23021986-1927-41b2-ad02-75262291dab9" xsi:nil="true"/>
    <Documenttype xmlns="23021986-1927-41b2-ad02-75262291dab9" xsi:nil="true"/>
    <lcf76f155ced4ddcb4097134ff3c332f xmlns="23021986-1927-41b2-ad02-75262291dab9">
      <Terms xmlns="http://schemas.microsoft.com/office/infopath/2007/PartnerControls"/>
    </lcf76f155ced4ddcb4097134ff3c332f>
    <Workflowstage xmlns="23021986-1927-41b2-ad02-75262291dab9" xsi:nil="true"/>
    <Documentowner xmlns="23021986-1927-41b2-ad02-75262291dab9">
      <UserInfo>
        <DisplayName/>
        <AccountId xsi:nil="true"/>
        <AccountType/>
      </UserInfo>
    </Documentowner>
  </documentManagement>
</p:properties>
</file>

<file path=customXml/itemProps1.xml><?xml version="1.0" encoding="utf-8"?>
<ds:datastoreItem xmlns:ds="http://schemas.openxmlformats.org/officeDocument/2006/customXml" ds:itemID="{C9F20DE3-01D8-4817-BCD6-25F05BF02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3D1C4-7175-411D-8127-831399A8548F}"/>
</file>

<file path=customXml/itemProps3.xml><?xml version="1.0" encoding="utf-8"?>
<ds:datastoreItem xmlns:ds="http://schemas.openxmlformats.org/officeDocument/2006/customXml" ds:itemID="{E89384AA-A09E-4874-A73B-042BBCF57AEA}"/>
</file>

<file path=customXml/itemProps4.xml><?xml version="1.0" encoding="utf-8"?>
<ds:datastoreItem xmlns:ds="http://schemas.openxmlformats.org/officeDocument/2006/customXml" ds:itemID="{C3BF605F-6E58-478B-8282-0F68B35B8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2025-11-28T12:07:00Z</dcterms:created>
  <dcterms:modified xsi:type="dcterms:W3CDTF">2025-11-28T12:07:00Z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</Properties>
</file>